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755E" w14:textId="77777777" w:rsidR="00417E78" w:rsidRDefault="00417E78" w:rsidP="00417E78">
      <w:pPr>
        <w:rPr>
          <w:rFonts w:cs="Arial"/>
          <w:color w:val="000000"/>
        </w:rPr>
      </w:pPr>
      <w:r>
        <w:rPr>
          <w:rFonts w:cs="Arial"/>
          <w:color w:val="000000"/>
        </w:rPr>
        <w:t xml:space="preserve">I disclose the following information in reference to the points outlined in your application: </w:t>
      </w:r>
    </w:p>
    <w:p w14:paraId="25146AD8" w14:textId="77777777" w:rsidR="00417E78" w:rsidRPr="00384034" w:rsidRDefault="00417E78" w:rsidP="00417E78">
      <w:pPr>
        <w:spacing w:line="276" w:lineRule="auto"/>
        <w:jc w:val="both"/>
        <w:rPr>
          <w:rFonts w:cs="Arial"/>
          <w:sz w:val="18"/>
          <w:szCs w:val="18"/>
        </w:rPr>
      </w:pPr>
    </w:p>
    <w:p w14:paraId="1B53B630" w14:textId="77777777" w:rsidR="00417E78" w:rsidRDefault="00417E78" w:rsidP="00417E78">
      <w:pPr>
        <w:numPr>
          <w:ilvl w:val="0"/>
          <w:numId w:val="1"/>
        </w:numPr>
        <w:tabs>
          <w:tab w:val="clear" w:pos="720"/>
          <w:tab w:val="num" w:pos="426"/>
        </w:tabs>
        <w:spacing w:line="276" w:lineRule="auto"/>
        <w:ind w:hanging="720"/>
        <w:jc w:val="both"/>
        <w:rPr>
          <w:rFonts w:cs="Arial"/>
        </w:rPr>
      </w:pPr>
      <w:r>
        <w:rPr>
          <w:rFonts w:cs="Arial"/>
        </w:rPr>
        <w:t>Total annual expenditure on marine Police operations</w:t>
      </w:r>
      <w:r w:rsidRPr="00384034">
        <w:rPr>
          <w:rFonts w:cs="Arial"/>
        </w:rPr>
        <w:t>:</w:t>
      </w:r>
    </w:p>
    <w:p w14:paraId="7581217B" w14:textId="77777777" w:rsidR="00417E78" w:rsidRDefault="00417E78" w:rsidP="00417E78">
      <w:pPr>
        <w:spacing w:line="276" w:lineRule="auto"/>
        <w:jc w:val="both"/>
        <w:rPr>
          <w:rFonts w:cs="Arial"/>
        </w:rPr>
      </w:pPr>
    </w:p>
    <w:p w14:paraId="75EE67E9" w14:textId="77777777" w:rsidR="00417E78" w:rsidRDefault="00417E78" w:rsidP="00417E78">
      <w:pPr>
        <w:spacing w:line="276" w:lineRule="auto"/>
        <w:jc w:val="both"/>
        <w:rPr>
          <w:rFonts w:cs="Arial"/>
        </w:rPr>
      </w:pPr>
      <w:r>
        <w:rPr>
          <w:rFonts w:cs="Arial"/>
        </w:rPr>
        <w:t>Expenditure: $11.2 million</w:t>
      </w:r>
    </w:p>
    <w:p w14:paraId="56155C24" w14:textId="77777777" w:rsidR="00417E78" w:rsidRDefault="00417E78" w:rsidP="00417E78">
      <w:pPr>
        <w:spacing w:line="276" w:lineRule="auto"/>
        <w:jc w:val="both"/>
        <w:rPr>
          <w:rFonts w:cs="Arial"/>
        </w:rPr>
      </w:pPr>
    </w:p>
    <w:p w14:paraId="0C7CACB8" w14:textId="77777777" w:rsidR="00417E78" w:rsidRPr="00E3437C" w:rsidRDefault="00417E78" w:rsidP="00417E78">
      <w:pPr>
        <w:spacing w:line="276" w:lineRule="auto"/>
        <w:jc w:val="both"/>
        <w:rPr>
          <w:rFonts w:cs="Arial"/>
          <w:i/>
          <w:iCs/>
        </w:rPr>
      </w:pPr>
      <w:r w:rsidRPr="00E3437C">
        <w:rPr>
          <w:rFonts w:cs="Arial"/>
          <w:i/>
          <w:iCs/>
        </w:rPr>
        <w:t>All marine and fisheries compliances enforcement activities across commercial and recreational are part of normal salaried duties of marine and rescue personnel (an</w:t>
      </w:r>
      <w:r>
        <w:rPr>
          <w:rFonts w:cs="Arial"/>
          <w:i/>
          <w:iCs/>
        </w:rPr>
        <w:t>d</w:t>
      </w:r>
      <w:r w:rsidRPr="00E3437C">
        <w:rPr>
          <w:rFonts w:cs="Arial"/>
          <w:i/>
          <w:iCs/>
        </w:rPr>
        <w:t xml:space="preserve"> general duties policing). Whilst there may be statistics that relate to compliance activities, these </w:t>
      </w:r>
      <w:proofErr w:type="spellStart"/>
      <w:r w:rsidRPr="00E3437C">
        <w:rPr>
          <w:rFonts w:cs="Arial"/>
          <w:i/>
          <w:iCs/>
        </w:rPr>
        <w:t>can not</w:t>
      </w:r>
      <w:proofErr w:type="spellEnd"/>
      <w:r w:rsidRPr="00E3437C">
        <w:rPr>
          <w:rFonts w:cs="Arial"/>
          <w:i/>
          <w:iCs/>
        </w:rPr>
        <w:t xml:space="preserve"> be costs as they are attributed to salary and operations.  </w:t>
      </w:r>
    </w:p>
    <w:p w14:paraId="25FAC7F1" w14:textId="77777777" w:rsidR="00417E78" w:rsidRDefault="00417E78" w:rsidP="00417E78">
      <w:pPr>
        <w:spacing w:line="276" w:lineRule="auto"/>
        <w:jc w:val="both"/>
        <w:rPr>
          <w:rFonts w:cs="Arial"/>
        </w:rPr>
      </w:pPr>
    </w:p>
    <w:tbl>
      <w:tblPr>
        <w:tblStyle w:val="TableGrid"/>
        <w:tblW w:w="0" w:type="auto"/>
        <w:tblLook w:val="04A0" w:firstRow="1" w:lastRow="0" w:firstColumn="1" w:lastColumn="0" w:noHBand="0" w:noVBand="1"/>
      </w:tblPr>
      <w:tblGrid>
        <w:gridCol w:w="3397"/>
        <w:gridCol w:w="1701"/>
        <w:gridCol w:w="1561"/>
        <w:gridCol w:w="1670"/>
      </w:tblGrid>
      <w:tr w:rsidR="00417E78" w14:paraId="48E7AD0D" w14:textId="77777777" w:rsidTr="001653B3">
        <w:trPr>
          <w:trHeight w:val="298"/>
        </w:trPr>
        <w:tc>
          <w:tcPr>
            <w:tcW w:w="3397" w:type="dxa"/>
            <w:shd w:val="clear" w:color="auto" w:fill="D9D9D9" w:themeFill="background1" w:themeFillShade="D9"/>
          </w:tcPr>
          <w:p w14:paraId="20D52BC4" w14:textId="77777777" w:rsidR="00417E78" w:rsidRDefault="00417E78" w:rsidP="001653B3">
            <w:pPr>
              <w:spacing w:line="276" w:lineRule="auto"/>
              <w:jc w:val="both"/>
              <w:rPr>
                <w:rFonts w:cs="Arial"/>
              </w:rPr>
            </w:pPr>
          </w:p>
        </w:tc>
        <w:tc>
          <w:tcPr>
            <w:tcW w:w="1701" w:type="dxa"/>
            <w:shd w:val="clear" w:color="auto" w:fill="D9D9D9" w:themeFill="background1" w:themeFillShade="D9"/>
          </w:tcPr>
          <w:p w14:paraId="2CFCAF0F" w14:textId="77777777" w:rsidR="00417E78" w:rsidRDefault="00417E78" w:rsidP="001653B3">
            <w:pPr>
              <w:spacing w:line="276" w:lineRule="auto"/>
              <w:jc w:val="both"/>
              <w:rPr>
                <w:rFonts w:cs="Arial"/>
              </w:rPr>
            </w:pPr>
            <w:r>
              <w:rPr>
                <w:rFonts w:cs="Arial"/>
              </w:rPr>
              <w:t>2025 Budget</w:t>
            </w:r>
          </w:p>
        </w:tc>
        <w:tc>
          <w:tcPr>
            <w:tcW w:w="1561" w:type="dxa"/>
            <w:shd w:val="clear" w:color="auto" w:fill="D9D9D9" w:themeFill="background1" w:themeFillShade="D9"/>
          </w:tcPr>
          <w:p w14:paraId="74D49668" w14:textId="77777777" w:rsidR="00417E78" w:rsidRDefault="00417E78" w:rsidP="001653B3">
            <w:pPr>
              <w:spacing w:line="276" w:lineRule="auto"/>
              <w:jc w:val="both"/>
              <w:rPr>
                <w:rFonts w:cs="Arial"/>
              </w:rPr>
            </w:pPr>
            <w:r>
              <w:rPr>
                <w:rFonts w:cs="Arial"/>
              </w:rPr>
              <w:t>2025 Actual</w:t>
            </w:r>
          </w:p>
        </w:tc>
        <w:tc>
          <w:tcPr>
            <w:tcW w:w="1670" w:type="dxa"/>
            <w:shd w:val="clear" w:color="auto" w:fill="D9D9D9" w:themeFill="background1" w:themeFillShade="D9"/>
          </w:tcPr>
          <w:p w14:paraId="1A9B0A52" w14:textId="77777777" w:rsidR="00417E78" w:rsidRDefault="00417E78" w:rsidP="001653B3">
            <w:pPr>
              <w:spacing w:line="276" w:lineRule="auto"/>
              <w:jc w:val="both"/>
              <w:rPr>
                <w:rFonts w:cs="Arial"/>
              </w:rPr>
            </w:pPr>
            <w:r>
              <w:rPr>
                <w:rFonts w:cs="Arial"/>
              </w:rPr>
              <w:t>2024 Actual</w:t>
            </w:r>
          </w:p>
        </w:tc>
      </w:tr>
      <w:tr w:rsidR="00417E78" w14:paraId="70C1B780" w14:textId="77777777" w:rsidTr="001653B3">
        <w:trPr>
          <w:trHeight w:val="284"/>
        </w:trPr>
        <w:tc>
          <w:tcPr>
            <w:tcW w:w="3397" w:type="dxa"/>
          </w:tcPr>
          <w:p w14:paraId="7AE6AD93" w14:textId="77777777" w:rsidR="00417E78" w:rsidRDefault="00417E78" w:rsidP="001653B3">
            <w:pPr>
              <w:spacing w:line="276" w:lineRule="auto"/>
              <w:jc w:val="center"/>
              <w:rPr>
                <w:rFonts w:cs="Arial"/>
              </w:rPr>
            </w:pPr>
            <w:r>
              <w:rPr>
                <w:rFonts w:cs="Arial"/>
              </w:rPr>
              <w:t>Output 2.3 Fisheries Security</w:t>
            </w:r>
          </w:p>
        </w:tc>
        <w:tc>
          <w:tcPr>
            <w:tcW w:w="1701" w:type="dxa"/>
          </w:tcPr>
          <w:p w14:paraId="7E9DE925" w14:textId="77777777" w:rsidR="00417E78" w:rsidRDefault="00417E78" w:rsidP="001653B3">
            <w:pPr>
              <w:spacing w:line="276" w:lineRule="auto"/>
              <w:jc w:val="center"/>
              <w:rPr>
                <w:rFonts w:cs="Arial"/>
              </w:rPr>
            </w:pPr>
            <w:r>
              <w:rPr>
                <w:rFonts w:cs="Arial"/>
              </w:rPr>
              <w:t>6,880</w:t>
            </w:r>
          </w:p>
        </w:tc>
        <w:tc>
          <w:tcPr>
            <w:tcW w:w="1561" w:type="dxa"/>
          </w:tcPr>
          <w:p w14:paraId="0B061D51" w14:textId="77777777" w:rsidR="00417E78" w:rsidRDefault="00417E78" w:rsidP="001653B3">
            <w:pPr>
              <w:spacing w:line="276" w:lineRule="auto"/>
              <w:jc w:val="center"/>
              <w:rPr>
                <w:rFonts w:cs="Arial"/>
              </w:rPr>
            </w:pPr>
            <w:r>
              <w:rPr>
                <w:rFonts w:cs="Arial"/>
              </w:rPr>
              <w:t>13,344</w:t>
            </w:r>
          </w:p>
        </w:tc>
        <w:tc>
          <w:tcPr>
            <w:tcW w:w="1670" w:type="dxa"/>
          </w:tcPr>
          <w:p w14:paraId="049F5D0F" w14:textId="77777777" w:rsidR="00417E78" w:rsidRDefault="00417E78" w:rsidP="001653B3">
            <w:pPr>
              <w:spacing w:line="276" w:lineRule="auto"/>
              <w:jc w:val="center"/>
              <w:rPr>
                <w:rFonts w:cs="Arial"/>
              </w:rPr>
            </w:pPr>
            <w:r>
              <w:rPr>
                <w:rFonts w:cs="Arial"/>
              </w:rPr>
              <w:t>11,199</w:t>
            </w:r>
          </w:p>
        </w:tc>
      </w:tr>
    </w:tbl>
    <w:p w14:paraId="52A9AC66" w14:textId="77777777" w:rsidR="00417E78" w:rsidRDefault="00417E78" w:rsidP="00417E78">
      <w:pPr>
        <w:spacing w:line="276" w:lineRule="auto"/>
        <w:jc w:val="center"/>
        <w:rPr>
          <w:rFonts w:cs="Arial"/>
        </w:rPr>
      </w:pPr>
    </w:p>
    <w:p w14:paraId="5247AB7B" w14:textId="77777777" w:rsidR="00417E78" w:rsidRPr="00DF687F" w:rsidRDefault="00417E78" w:rsidP="00417E78">
      <w:pPr>
        <w:spacing w:line="276" w:lineRule="auto"/>
        <w:jc w:val="both"/>
        <w:rPr>
          <w:rFonts w:cs="Arial"/>
          <w:b/>
          <w:bCs/>
        </w:rPr>
      </w:pPr>
      <w:r w:rsidRPr="00DF687F">
        <w:rPr>
          <w:rFonts w:cs="Arial"/>
          <w:b/>
          <w:bCs/>
        </w:rPr>
        <w:t>2.3 Fisheries Security</w:t>
      </w:r>
    </w:p>
    <w:p w14:paraId="228A7323" w14:textId="77777777" w:rsidR="00417E78" w:rsidRDefault="00417E78" w:rsidP="00417E78">
      <w:pPr>
        <w:spacing w:line="276" w:lineRule="auto"/>
        <w:jc w:val="both"/>
        <w:rPr>
          <w:rFonts w:cs="Arial"/>
        </w:rPr>
      </w:pPr>
    </w:p>
    <w:p w14:paraId="346FDD4F" w14:textId="77777777" w:rsidR="00417E78" w:rsidRDefault="00417E78" w:rsidP="00417E78">
      <w:pPr>
        <w:spacing w:line="276" w:lineRule="auto"/>
        <w:jc w:val="both"/>
        <w:rPr>
          <w:rFonts w:cs="Arial"/>
        </w:rPr>
      </w:pPr>
      <w:r>
        <w:rPr>
          <w:rFonts w:cs="Arial"/>
        </w:rPr>
        <w:t>This output relates to marine safety and the protection of State and Australian Government marine resources, through the provision of marine compliance and enforcement activities.</w:t>
      </w:r>
    </w:p>
    <w:p w14:paraId="4289E023" w14:textId="77777777" w:rsidR="00417E78" w:rsidRDefault="00417E78" w:rsidP="00417E78">
      <w:pPr>
        <w:spacing w:line="276" w:lineRule="auto"/>
        <w:jc w:val="both"/>
        <w:rPr>
          <w:rFonts w:cs="Arial"/>
        </w:rPr>
      </w:pPr>
    </w:p>
    <w:p w14:paraId="3E6880A6" w14:textId="77777777" w:rsidR="00417E78" w:rsidRDefault="00417E78" w:rsidP="00417E78">
      <w:pPr>
        <w:spacing w:line="276" w:lineRule="auto"/>
        <w:jc w:val="both"/>
        <w:rPr>
          <w:rFonts w:cs="Arial"/>
        </w:rPr>
      </w:pPr>
      <w:r>
        <w:rPr>
          <w:rFonts w:cs="Arial"/>
        </w:rPr>
        <w:t xml:space="preserve">By using a combination of overt and covert sea patrols and in-port, at sea, and fish processor inspections, the Department </w:t>
      </w:r>
      <w:proofErr w:type="gramStart"/>
      <w:r>
        <w:rPr>
          <w:rFonts w:cs="Arial"/>
        </w:rPr>
        <w:t>is able to</w:t>
      </w:r>
      <w:proofErr w:type="gramEnd"/>
      <w:r>
        <w:rPr>
          <w:rFonts w:cs="Arial"/>
        </w:rPr>
        <w:t xml:space="preserve"> target offenders, facilitate the protection and security of marine resources </w:t>
      </w:r>
      <w:proofErr w:type="spellStart"/>
      <w:r>
        <w:rPr>
          <w:rFonts w:cs="Arial"/>
        </w:rPr>
        <w:t>n</w:t>
      </w:r>
      <w:proofErr w:type="spellEnd"/>
      <w:r>
        <w:rPr>
          <w:rFonts w:cs="Arial"/>
        </w:rPr>
        <w:t xml:space="preserve"> both the recreational and commercial fishing sectors an ensure the safety of vessel operators.</w:t>
      </w:r>
    </w:p>
    <w:p w14:paraId="4A1C234A" w14:textId="77777777" w:rsidR="00417E78" w:rsidRPr="00384034" w:rsidRDefault="00417E78" w:rsidP="00417E78">
      <w:pPr>
        <w:spacing w:line="276" w:lineRule="auto"/>
        <w:jc w:val="both"/>
        <w:rPr>
          <w:rFonts w:cs="Arial"/>
          <w:i/>
          <w:iCs/>
          <w:sz w:val="22"/>
          <w:szCs w:val="22"/>
        </w:rPr>
      </w:pPr>
    </w:p>
    <w:p w14:paraId="3482B68F" w14:textId="77777777" w:rsidR="00417E78" w:rsidRDefault="00417E78" w:rsidP="00417E78">
      <w:pPr>
        <w:numPr>
          <w:ilvl w:val="0"/>
          <w:numId w:val="1"/>
        </w:numPr>
        <w:tabs>
          <w:tab w:val="clear" w:pos="720"/>
          <w:tab w:val="num" w:pos="426"/>
        </w:tabs>
        <w:spacing w:line="276" w:lineRule="auto"/>
        <w:ind w:hanging="720"/>
        <w:jc w:val="both"/>
        <w:rPr>
          <w:rFonts w:cs="Arial"/>
        </w:rPr>
      </w:pPr>
      <w:r>
        <w:rPr>
          <w:rFonts w:cs="Arial"/>
        </w:rPr>
        <w:t>The total number of compliance checks conducted by marine police each year</w:t>
      </w:r>
      <w:r w:rsidRPr="00384034">
        <w:rPr>
          <w:rFonts w:cs="Arial"/>
        </w:rPr>
        <w:t>: </w:t>
      </w:r>
    </w:p>
    <w:p w14:paraId="15A25C46" w14:textId="77777777" w:rsidR="00417E78" w:rsidRDefault="00417E78" w:rsidP="00417E78">
      <w:pPr>
        <w:spacing w:line="276" w:lineRule="auto"/>
        <w:ind w:left="720"/>
        <w:jc w:val="both"/>
        <w:rPr>
          <w:rFonts w:cs="Arial"/>
        </w:rPr>
      </w:pPr>
    </w:p>
    <w:p w14:paraId="10BAB87B" w14:textId="77777777" w:rsidR="00417E78" w:rsidRPr="0062143B" w:rsidRDefault="00417E78" w:rsidP="00417E78">
      <w:pPr>
        <w:overflowPunct/>
        <w:autoSpaceDE/>
        <w:autoSpaceDN/>
        <w:adjustRightInd/>
        <w:textAlignment w:val="auto"/>
        <w:rPr>
          <w:rFonts w:ascii="Aptos" w:eastAsia="Aptos" w:hAnsi="Aptos" w:cs="Aptos"/>
          <w:b/>
          <w:bCs/>
          <w:sz w:val="22"/>
          <w:szCs w:val="22"/>
          <w:lang w:eastAsia="en-US"/>
        </w:rPr>
      </w:pPr>
      <w:r w:rsidRPr="0062143B">
        <w:rPr>
          <w:rFonts w:ascii="Aptos" w:eastAsia="Aptos" w:hAnsi="Aptos" w:cs="Aptos"/>
          <w:b/>
          <w:bCs/>
          <w:sz w:val="22"/>
          <w:szCs w:val="22"/>
          <w:lang w:eastAsia="en-US"/>
        </w:rPr>
        <w:t>Sea Inspections (Vessel &amp; Non-Vessel) in Tasmania</w:t>
      </w:r>
    </w:p>
    <w:p w14:paraId="6644125C" w14:textId="77777777" w:rsidR="00417E78" w:rsidRPr="0062143B" w:rsidRDefault="00417E78" w:rsidP="00417E78">
      <w:pPr>
        <w:overflowPunct/>
        <w:autoSpaceDE/>
        <w:autoSpaceDN/>
        <w:adjustRightInd/>
        <w:textAlignment w:val="auto"/>
        <w:rPr>
          <w:rFonts w:ascii="Aptos" w:eastAsia="Aptos" w:hAnsi="Aptos" w:cs="Aptos"/>
          <w:sz w:val="22"/>
          <w:szCs w:val="22"/>
          <w:lang w:eastAsia="en-US"/>
        </w:rPr>
      </w:pPr>
      <w:r w:rsidRPr="0062143B">
        <w:rPr>
          <w:rFonts w:ascii="Aptos" w:eastAsia="Aptos" w:hAnsi="Aptos" w:cs="Aptos"/>
          <w:sz w:val="22"/>
          <w:szCs w:val="22"/>
          <w:lang w:eastAsia="en-US"/>
        </w:rPr>
        <w:t>01 Jul 2023 to 31 Jan 2026</w:t>
      </w:r>
    </w:p>
    <w:tbl>
      <w:tblPr>
        <w:tblStyle w:val="TableGrid"/>
        <w:tblW w:w="0" w:type="auto"/>
        <w:tblLook w:val="04A0" w:firstRow="1" w:lastRow="0" w:firstColumn="1" w:lastColumn="0" w:noHBand="0" w:noVBand="1"/>
      </w:tblPr>
      <w:tblGrid>
        <w:gridCol w:w="2997"/>
        <w:gridCol w:w="1501"/>
        <w:gridCol w:w="1951"/>
        <w:gridCol w:w="2402"/>
      </w:tblGrid>
      <w:tr w:rsidR="00417E78" w14:paraId="3FE513BE" w14:textId="77777777" w:rsidTr="001653B3">
        <w:trPr>
          <w:trHeight w:val="331"/>
        </w:trPr>
        <w:tc>
          <w:tcPr>
            <w:tcW w:w="2997" w:type="dxa"/>
            <w:shd w:val="clear" w:color="auto" w:fill="D9D9D9" w:themeFill="background1" w:themeFillShade="D9"/>
          </w:tcPr>
          <w:p w14:paraId="5C813ECB" w14:textId="77777777" w:rsidR="00417E78" w:rsidRDefault="00417E78" w:rsidP="001653B3">
            <w:pPr>
              <w:spacing w:line="276" w:lineRule="auto"/>
              <w:jc w:val="both"/>
              <w:rPr>
                <w:rFonts w:cs="Arial"/>
              </w:rPr>
            </w:pPr>
            <w:r>
              <w:rPr>
                <w:rFonts w:cs="Arial"/>
              </w:rPr>
              <w:t>District</w:t>
            </w:r>
          </w:p>
        </w:tc>
        <w:tc>
          <w:tcPr>
            <w:tcW w:w="1501" w:type="dxa"/>
            <w:shd w:val="clear" w:color="auto" w:fill="D9D9D9" w:themeFill="background1" w:themeFillShade="D9"/>
          </w:tcPr>
          <w:p w14:paraId="6552D6BF" w14:textId="77777777" w:rsidR="00417E78" w:rsidRDefault="00417E78" w:rsidP="001653B3">
            <w:pPr>
              <w:spacing w:line="276" w:lineRule="auto"/>
              <w:jc w:val="both"/>
              <w:rPr>
                <w:rFonts w:cs="Arial"/>
              </w:rPr>
            </w:pPr>
            <w:r>
              <w:rPr>
                <w:rFonts w:cs="Arial"/>
              </w:rPr>
              <w:t>2023-24</w:t>
            </w:r>
          </w:p>
        </w:tc>
        <w:tc>
          <w:tcPr>
            <w:tcW w:w="1951" w:type="dxa"/>
            <w:shd w:val="clear" w:color="auto" w:fill="D9D9D9" w:themeFill="background1" w:themeFillShade="D9"/>
          </w:tcPr>
          <w:p w14:paraId="360557E5" w14:textId="77777777" w:rsidR="00417E78" w:rsidRDefault="00417E78" w:rsidP="001653B3">
            <w:pPr>
              <w:spacing w:line="276" w:lineRule="auto"/>
              <w:jc w:val="both"/>
              <w:rPr>
                <w:rFonts w:cs="Arial"/>
              </w:rPr>
            </w:pPr>
            <w:r>
              <w:rPr>
                <w:rFonts w:cs="Arial"/>
              </w:rPr>
              <w:t>2024-25</w:t>
            </w:r>
          </w:p>
        </w:tc>
        <w:tc>
          <w:tcPr>
            <w:tcW w:w="2402" w:type="dxa"/>
            <w:shd w:val="clear" w:color="auto" w:fill="D9D9D9" w:themeFill="background1" w:themeFillShade="D9"/>
          </w:tcPr>
          <w:p w14:paraId="0609C55C" w14:textId="77777777" w:rsidR="00417E78" w:rsidRDefault="00417E78" w:rsidP="001653B3">
            <w:pPr>
              <w:spacing w:line="276" w:lineRule="auto"/>
              <w:jc w:val="both"/>
              <w:rPr>
                <w:rFonts w:cs="Arial"/>
              </w:rPr>
            </w:pPr>
            <w:r>
              <w:rPr>
                <w:rFonts w:cs="Arial"/>
              </w:rPr>
              <w:t>2025-26 (to 31Jan)</w:t>
            </w:r>
          </w:p>
        </w:tc>
      </w:tr>
      <w:tr w:rsidR="00417E78" w14:paraId="221B1DA4" w14:textId="77777777" w:rsidTr="001653B3">
        <w:trPr>
          <w:trHeight w:val="331"/>
        </w:trPr>
        <w:tc>
          <w:tcPr>
            <w:tcW w:w="2997" w:type="dxa"/>
          </w:tcPr>
          <w:p w14:paraId="52333823" w14:textId="77777777" w:rsidR="00417E78" w:rsidRDefault="00417E78" w:rsidP="001653B3">
            <w:pPr>
              <w:spacing w:line="276" w:lineRule="auto"/>
              <w:jc w:val="both"/>
              <w:rPr>
                <w:rFonts w:cs="Arial"/>
              </w:rPr>
            </w:pPr>
            <w:r>
              <w:rPr>
                <w:rFonts w:cs="Arial"/>
              </w:rPr>
              <w:t>North</w:t>
            </w:r>
          </w:p>
        </w:tc>
        <w:tc>
          <w:tcPr>
            <w:tcW w:w="1501" w:type="dxa"/>
          </w:tcPr>
          <w:p w14:paraId="11FD87EF" w14:textId="77777777" w:rsidR="00417E78" w:rsidRDefault="00417E78" w:rsidP="001653B3">
            <w:pPr>
              <w:spacing w:line="276" w:lineRule="auto"/>
              <w:jc w:val="both"/>
              <w:rPr>
                <w:rFonts w:cs="Arial"/>
              </w:rPr>
            </w:pPr>
            <w:r>
              <w:rPr>
                <w:rFonts w:cs="Arial"/>
              </w:rPr>
              <w:t>1186</w:t>
            </w:r>
          </w:p>
        </w:tc>
        <w:tc>
          <w:tcPr>
            <w:tcW w:w="1951" w:type="dxa"/>
          </w:tcPr>
          <w:p w14:paraId="4654A0E8" w14:textId="77777777" w:rsidR="00417E78" w:rsidRDefault="00417E78" w:rsidP="001653B3">
            <w:pPr>
              <w:spacing w:line="276" w:lineRule="auto"/>
              <w:jc w:val="both"/>
              <w:rPr>
                <w:rFonts w:cs="Arial"/>
              </w:rPr>
            </w:pPr>
            <w:r>
              <w:rPr>
                <w:rFonts w:cs="Arial"/>
              </w:rPr>
              <w:t>1710</w:t>
            </w:r>
          </w:p>
        </w:tc>
        <w:tc>
          <w:tcPr>
            <w:tcW w:w="2402" w:type="dxa"/>
          </w:tcPr>
          <w:p w14:paraId="37ADD041" w14:textId="77777777" w:rsidR="00417E78" w:rsidRDefault="00417E78" w:rsidP="001653B3">
            <w:pPr>
              <w:spacing w:line="276" w:lineRule="auto"/>
              <w:jc w:val="both"/>
              <w:rPr>
                <w:rFonts w:cs="Arial"/>
              </w:rPr>
            </w:pPr>
            <w:r>
              <w:rPr>
                <w:rFonts w:cs="Arial"/>
              </w:rPr>
              <w:t>285</w:t>
            </w:r>
          </w:p>
        </w:tc>
      </w:tr>
      <w:tr w:rsidR="00417E78" w14:paraId="19FF4E9A" w14:textId="77777777" w:rsidTr="001653B3">
        <w:trPr>
          <w:trHeight w:val="316"/>
        </w:trPr>
        <w:tc>
          <w:tcPr>
            <w:tcW w:w="2997" w:type="dxa"/>
          </w:tcPr>
          <w:p w14:paraId="054CCFC2" w14:textId="77777777" w:rsidR="00417E78" w:rsidRDefault="00417E78" w:rsidP="001653B3">
            <w:pPr>
              <w:spacing w:line="276" w:lineRule="auto"/>
              <w:jc w:val="both"/>
              <w:rPr>
                <w:rFonts w:cs="Arial"/>
              </w:rPr>
            </w:pPr>
            <w:r>
              <w:rPr>
                <w:rFonts w:cs="Arial"/>
              </w:rPr>
              <w:t>South</w:t>
            </w:r>
          </w:p>
        </w:tc>
        <w:tc>
          <w:tcPr>
            <w:tcW w:w="1501" w:type="dxa"/>
          </w:tcPr>
          <w:p w14:paraId="6ECAFB46" w14:textId="77777777" w:rsidR="00417E78" w:rsidRDefault="00417E78" w:rsidP="001653B3">
            <w:pPr>
              <w:spacing w:line="276" w:lineRule="auto"/>
              <w:jc w:val="both"/>
              <w:rPr>
                <w:rFonts w:cs="Arial"/>
              </w:rPr>
            </w:pPr>
            <w:r>
              <w:rPr>
                <w:rFonts w:cs="Arial"/>
              </w:rPr>
              <w:t>227</w:t>
            </w:r>
          </w:p>
        </w:tc>
        <w:tc>
          <w:tcPr>
            <w:tcW w:w="1951" w:type="dxa"/>
          </w:tcPr>
          <w:p w14:paraId="7C16964D" w14:textId="77777777" w:rsidR="00417E78" w:rsidRDefault="00417E78" w:rsidP="001653B3">
            <w:pPr>
              <w:spacing w:line="276" w:lineRule="auto"/>
              <w:jc w:val="both"/>
              <w:rPr>
                <w:rFonts w:cs="Arial"/>
              </w:rPr>
            </w:pPr>
            <w:r>
              <w:rPr>
                <w:rFonts w:cs="Arial"/>
              </w:rPr>
              <w:t>40</w:t>
            </w:r>
          </w:p>
        </w:tc>
        <w:tc>
          <w:tcPr>
            <w:tcW w:w="2402" w:type="dxa"/>
          </w:tcPr>
          <w:p w14:paraId="0990FB24" w14:textId="77777777" w:rsidR="00417E78" w:rsidRDefault="00417E78" w:rsidP="001653B3">
            <w:pPr>
              <w:spacing w:line="276" w:lineRule="auto"/>
              <w:jc w:val="both"/>
              <w:rPr>
                <w:rFonts w:cs="Arial"/>
              </w:rPr>
            </w:pPr>
            <w:r>
              <w:rPr>
                <w:rFonts w:cs="Arial"/>
              </w:rPr>
              <w:t>25</w:t>
            </w:r>
          </w:p>
        </w:tc>
      </w:tr>
      <w:tr w:rsidR="00417E78" w14:paraId="1B947690" w14:textId="77777777" w:rsidTr="001653B3">
        <w:trPr>
          <w:trHeight w:val="331"/>
        </w:trPr>
        <w:tc>
          <w:tcPr>
            <w:tcW w:w="2997" w:type="dxa"/>
          </w:tcPr>
          <w:p w14:paraId="72771819" w14:textId="77777777" w:rsidR="00417E78" w:rsidRDefault="00417E78" w:rsidP="001653B3">
            <w:pPr>
              <w:spacing w:line="276" w:lineRule="auto"/>
              <w:jc w:val="both"/>
              <w:rPr>
                <w:rFonts w:cs="Arial"/>
              </w:rPr>
            </w:pPr>
            <w:r>
              <w:rPr>
                <w:rFonts w:cs="Arial"/>
              </w:rPr>
              <w:t>West</w:t>
            </w:r>
          </w:p>
        </w:tc>
        <w:tc>
          <w:tcPr>
            <w:tcW w:w="1501" w:type="dxa"/>
          </w:tcPr>
          <w:p w14:paraId="5DE47316" w14:textId="77777777" w:rsidR="00417E78" w:rsidRDefault="00417E78" w:rsidP="001653B3">
            <w:pPr>
              <w:spacing w:line="276" w:lineRule="auto"/>
              <w:jc w:val="both"/>
              <w:rPr>
                <w:rFonts w:cs="Arial"/>
              </w:rPr>
            </w:pPr>
            <w:r>
              <w:rPr>
                <w:rFonts w:cs="Arial"/>
              </w:rPr>
              <w:t>357</w:t>
            </w:r>
          </w:p>
        </w:tc>
        <w:tc>
          <w:tcPr>
            <w:tcW w:w="1951" w:type="dxa"/>
          </w:tcPr>
          <w:p w14:paraId="20200483" w14:textId="77777777" w:rsidR="00417E78" w:rsidRDefault="00417E78" w:rsidP="001653B3">
            <w:pPr>
              <w:spacing w:line="276" w:lineRule="auto"/>
              <w:jc w:val="both"/>
              <w:rPr>
                <w:rFonts w:cs="Arial"/>
              </w:rPr>
            </w:pPr>
            <w:r>
              <w:rPr>
                <w:rFonts w:cs="Arial"/>
              </w:rPr>
              <w:t>438</w:t>
            </w:r>
          </w:p>
        </w:tc>
        <w:tc>
          <w:tcPr>
            <w:tcW w:w="2402" w:type="dxa"/>
          </w:tcPr>
          <w:p w14:paraId="0759D030" w14:textId="77777777" w:rsidR="00417E78" w:rsidRDefault="00417E78" w:rsidP="001653B3">
            <w:pPr>
              <w:spacing w:line="276" w:lineRule="auto"/>
              <w:jc w:val="both"/>
              <w:rPr>
                <w:rFonts w:cs="Arial"/>
              </w:rPr>
            </w:pPr>
            <w:r>
              <w:rPr>
                <w:rFonts w:cs="Arial"/>
              </w:rPr>
              <w:t>162</w:t>
            </w:r>
          </w:p>
        </w:tc>
      </w:tr>
      <w:tr w:rsidR="00417E78" w14:paraId="057DC9A8" w14:textId="77777777" w:rsidTr="001653B3">
        <w:trPr>
          <w:trHeight w:val="331"/>
        </w:trPr>
        <w:tc>
          <w:tcPr>
            <w:tcW w:w="2997" w:type="dxa"/>
          </w:tcPr>
          <w:p w14:paraId="299543D6" w14:textId="77777777" w:rsidR="00417E78" w:rsidRDefault="00417E78" w:rsidP="001653B3">
            <w:pPr>
              <w:spacing w:line="276" w:lineRule="auto"/>
              <w:jc w:val="both"/>
              <w:rPr>
                <w:rFonts w:cs="Arial"/>
              </w:rPr>
            </w:pPr>
            <w:r>
              <w:rPr>
                <w:rFonts w:cs="Arial"/>
              </w:rPr>
              <w:t xml:space="preserve">Marine &amp; Rescue </w:t>
            </w:r>
            <w:proofErr w:type="spellStart"/>
            <w:r>
              <w:rPr>
                <w:rFonts w:cs="Arial"/>
              </w:rPr>
              <w:t>Svcs</w:t>
            </w:r>
            <w:proofErr w:type="spellEnd"/>
          </w:p>
        </w:tc>
        <w:tc>
          <w:tcPr>
            <w:tcW w:w="1501" w:type="dxa"/>
          </w:tcPr>
          <w:p w14:paraId="5E583432" w14:textId="77777777" w:rsidR="00417E78" w:rsidRDefault="00417E78" w:rsidP="001653B3">
            <w:pPr>
              <w:spacing w:line="276" w:lineRule="auto"/>
              <w:jc w:val="both"/>
              <w:rPr>
                <w:rFonts w:cs="Arial"/>
              </w:rPr>
            </w:pPr>
            <w:r>
              <w:rPr>
                <w:rFonts w:cs="Arial"/>
              </w:rPr>
              <w:t>14012</w:t>
            </w:r>
          </w:p>
        </w:tc>
        <w:tc>
          <w:tcPr>
            <w:tcW w:w="1951" w:type="dxa"/>
          </w:tcPr>
          <w:p w14:paraId="78D738A1" w14:textId="77777777" w:rsidR="00417E78" w:rsidRDefault="00417E78" w:rsidP="001653B3">
            <w:pPr>
              <w:spacing w:line="276" w:lineRule="auto"/>
              <w:jc w:val="both"/>
              <w:rPr>
                <w:rFonts w:cs="Arial"/>
              </w:rPr>
            </w:pPr>
            <w:r>
              <w:rPr>
                <w:rFonts w:cs="Arial"/>
              </w:rPr>
              <w:t>11781</w:t>
            </w:r>
          </w:p>
        </w:tc>
        <w:tc>
          <w:tcPr>
            <w:tcW w:w="2402" w:type="dxa"/>
          </w:tcPr>
          <w:p w14:paraId="73A469DA" w14:textId="77777777" w:rsidR="00417E78" w:rsidRDefault="00417E78" w:rsidP="001653B3">
            <w:pPr>
              <w:spacing w:line="276" w:lineRule="auto"/>
              <w:jc w:val="both"/>
              <w:rPr>
                <w:rFonts w:cs="Arial"/>
              </w:rPr>
            </w:pPr>
            <w:r>
              <w:rPr>
                <w:rFonts w:cs="Arial"/>
              </w:rPr>
              <w:t>9274</w:t>
            </w:r>
          </w:p>
        </w:tc>
      </w:tr>
      <w:tr w:rsidR="00417E78" w14:paraId="75E21D38" w14:textId="77777777" w:rsidTr="001653B3">
        <w:trPr>
          <w:trHeight w:val="331"/>
        </w:trPr>
        <w:tc>
          <w:tcPr>
            <w:tcW w:w="2997" w:type="dxa"/>
          </w:tcPr>
          <w:p w14:paraId="45ADF671" w14:textId="77777777" w:rsidR="00417E78" w:rsidRPr="0062143B" w:rsidRDefault="00417E78" w:rsidP="001653B3">
            <w:pPr>
              <w:spacing w:line="276" w:lineRule="auto"/>
              <w:jc w:val="both"/>
              <w:rPr>
                <w:rFonts w:cs="Arial"/>
                <w:b/>
                <w:bCs/>
              </w:rPr>
            </w:pPr>
            <w:r w:rsidRPr="0062143B">
              <w:rPr>
                <w:rFonts w:cs="Arial"/>
                <w:b/>
                <w:bCs/>
              </w:rPr>
              <w:t>Total</w:t>
            </w:r>
          </w:p>
        </w:tc>
        <w:tc>
          <w:tcPr>
            <w:tcW w:w="1501" w:type="dxa"/>
          </w:tcPr>
          <w:p w14:paraId="3DD420AC" w14:textId="77777777" w:rsidR="00417E78" w:rsidRPr="0062143B" w:rsidRDefault="00417E78" w:rsidP="001653B3">
            <w:pPr>
              <w:spacing w:line="276" w:lineRule="auto"/>
              <w:jc w:val="both"/>
              <w:rPr>
                <w:rFonts w:cs="Arial"/>
                <w:b/>
                <w:bCs/>
              </w:rPr>
            </w:pPr>
            <w:r w:rsidRPr="0062143B">
              <w:rPr>
                <w:rFonts w:cs="Arial"/>
                <w:b/>
                <w:bCs/>
              </w:rPr>
              <w:t xml:space="preserve">15782 </w:t>
            </w:r>
          </w:p>
        </w:tc>
        <w:tc>
          <w:tcPr>
            <w:tcW w:w="1951" w:type="dxa"/>
          </w:tcPr>
          <w:p w14:paraId="0DF6353D" w14:textId="77777777" w:rsidR="00417E78" w:rsidRPr="0062143B" w:rsidRDefault="00417E78" w:rsidP="001653B3">
            <w:pPr>
              <w:spacing w:line="276" w:lineRule="auto"/>
              <w:jc w:val="both"/>
              <w:rPr>
                <w:rFonts w:cs="Arial"/>
                <w:b/>
                <w:bCs/>
              </w:rPr>
            </w:pPr>
            <w:r w:rsidRPr="0062143B">
              <w:rPr>
                <w:rFonts w:cs="Arial"/>
                <w:b/>
                <w:bCs/>
              </w:rPr>
              <w:t>13969</w:t>
            </w:r>
          </w:p>
        </w:tc>
        <w:tc>
          <w:tcPr>
            <w:tcW w:w="2402" w:type="dxa"/>
          </w:tcPr>
          <w:p w14:paraId="396514F7" w14:textId="77777777" w:rsidR="00417E78" w:rsidRPr="0062143B" w:rsidRDefault="00417E78" w:rsidP="001653B3">
            <w:pPr>
              <w:spacing w:line="276" w:lineRule="auto"/>
              <w:jc w:val="both"/>
              <w:rPr>
                <w:rFonts w:cs="Arial"/>
                <w:b/>
                <w:bCs/>
              </w:rPr>
            </w:pPr>
            <w:r w:rsidRPr="0062143B">
              <w:rPr>
                <w:rFonts w:cs="Arial"/>
                <w:b/>
                <w:bCs/>
              </w:rPr>
              <w:t>9746</w:t>
            </w:r>
          </w:p>
        </w:tc>
      </w:tr>
    </w:tbl>
    <w:p w14:paraId="7E87F735" w14:textId="77777777" w:rsidR="00417E78" w:rsidRDefault="00417E78" w:rsidP="00417E78">
      <w:pPr>
        <w:spacing w:line="276" w:lineRule="auto"/>
        <w:jc w:val="both"/>
        <w:rPr>
          <w:rFonts w:ascii="Aptos" w:eastAsia="Aptos" w:hAnsi="Aptos" w:cs="Aptos"/>
          <w:sz w:val="22"/>
          <w:szCs w:val="22"/>
          <w:lang w:eastAsia="en-US"/>
        </w:rPr>
      </w:pPr>
      <w:r w:rsidRPr="0062143B">
        <w:rPr>
          <w:rFonts w:ascii="Aptos" w:eastAsia="Aptos" w:hAnsi="Aptos" w:cs="Aptos"/>
          <w:sz w:val="22"/>
          <w:szCs w:val="22"/>
          <w:lang w:eastAsia="en-US"/>
        </w:rPr>
        <w:t>Source: District Marine Services 2 March 2026</w:t>
      </w:r>
    </w:p>
    <w:p w14:paraId="4123B4D9" w14:textId="77777777" w:rsidR="00417E78" w:rsidRDefault="00417E78" w:rsidP="00417E78">
      <w:pPr>
        <w:spacing w:line="276" w:lineRule="auto"/>
        <w:jc w:val="both"/>
        <w:rPr>
          <w:rFonts w:ascii="Aptos" w:eastAsia="Aptos" w:hAnsi="Aptos" w:cs="Aptos"/>
          <w:sz w:val="22"/>
          <w:szCs w:val="22"/>
          <w:lang w:eastAsia="en-US"/>
        </w:rPr>
      </w:pPr>
    </w:p>
    <w:p w14:paraId="11DDC7C5" w14:textId="77777777" w:rsidR="00417E78" w:rsidRPr="0062143B" w:rsidRDefault="00417E78" w:rsidP="00417E78">
      <w:pPr>
        <w:overflowPunct/>
        <w:autoSpaceDE/>
        <w:autoSpaceDN/>
        <w:adjustRightInd/>
        <w:textAlignment w:val="auto"/>
        <w:rPr>
          <w:rFonts w:ascii="Aptos" w:eastAsia="Aptos" w:hAnsi="Aptos" w:cs="Aptos"/>
          <w:b/>
          <w:bCs/>
          <w:sz w:val="22"/>
          <w:szCs w:val="22"/>
          <w:lang w:eastAsia="en-US"/>
        </w:rPr>
      </w:pPr>
      <w:r w:rsidRPr="0062143B">
        <w:rPr>
          <w:rFonts w:ascii="Aptos" w:eastAsia="Aptos" w:hAnsi="Aptos" w:cs="Aptos"/>
          <w:b/>
          <w:bCs/>
          <w:sz w:val="22"/>
          <w:szCs w:val="22"/>
          <w:lang w:eastAsia="en-US"/>
        </w:rPr>
        <w:t>Vessel Inspections on Lan</w:t>
      </w:r>
      <w:r>
        <w:rPr>
          <w:rFonts w:ascii="Aptos" w:eastAsia="Aptos" w:hAnsi="Aptos" w:cs="Aptos"/>
          <w:b/>
          <w:bCs/>
          <w:sz w:val="22"/>
          <w:szCs w:val="22"/>
          <w:lang w:eastAsia="en-US"/>
        </w:rPr>
        <w:t>d</w:t>
      </w:r>
      <w:r w:rsidRPr="0062143B">
        <w:rPr>
          <w:rFonts w:ascii="Aptos" w:eastAsia="Aptos" w:hAnsi="Aptos" w:cs="Aptos"/>
          <w:b/>
          <w:bCs/>
          <w:sz w:val="22"/>
          <w:szCs w:val="22"/>
          <w:lang w:eastAsia="en-US"/>
        </w:rPr>
        <w:t xml:space="preserve"> in Tasmania</w:t>
      </w:r>
    </w:p>
    <w:p w14:paraId="0445895E" w14:textId="77777777" w:rsidR="00417E78" w:rsidRPr="0062143B" w:rsidRDefault="00417E78" w:rsidP="00417E78">
      <w:pPr>
        <w:overflowPunct/>
        <w:autoSpaceDE/>
        <w:autoSpaceDN/>
        <w:adjustRightInd/>
        <w:textAlignment w:val="auto"/>
        <w:rPr>
          <w:rFonts w:ascii="Aptos" w:eastAsia="Aptos" w:hAnsi="Aptos" w:cs="Aptos"/>
          <w:sz w:val="22"/>
          <w:szCs w:val="22"/>
          <w:lang w:eastAsia="en-US"/>
        </w:rPr>
      </w:pPr>
      <w:r w:rsidRPr="0062143B">
        <w:rPr>
          <w:rFonts w:ascii="Aptos" w:eastAsia="Aptos" w:hAnsi="Aptos" w:cs="Aptos"/>
          <w:sz w:val="22"/>
          <w:szCs w:val="22"/>
          <w:lang w:eastAsia="en-US"/>
        </w:rPr>
        <w:t>01 Jul 2023 to 31 Jan 2026</w:t>
      </w:r>
    </w:p>
    <w:tbl>
      <w:tblPr>
        <w:tblStyle w:val="TableGrid"/>
        <w:tblW w:w="0" w:type="auto"/>
        <w:tblLook w:val="04A0" w:firstRow="1" w:lastRow="0" w:firstColumn="1" w:lastColumn="0" w:noHBand="0" w:noVBand="1"/>
      </w:tblPr>
      <w:tblGrid>
        <w:gridCol w:w="2966"/>
        <w:gridCol w:w="1486"/>
        <w:gridCol w:w="1932"/>
        <w:gridCol w:w="2377"/>
      </w:tblGrid>
      <w:tr w:rsidR="00417E78" w14:paraId="7D85D5B1" w14:textId="77777777" w:rsidTr="001653B3">
        <w:trPr>
          <w:trHeight w:val="346"/>
        </w:trPr>
        <w:tc>
          <w:tcPr>
            <w:tcW w:w="2966" w:type="dxa"/>
            <w:shd w:val="clear" w:color="auto" w:fill="D9D9D9" w:themeFill="background1" w:themeFillShade="D9"/>
          </w:tcPr>
          <w:p w14:paraId="7AB3827C" w14:textId="77777777" w:rsidR="00417E78" w:rsidRDefault="00417E78" w:rsidP="001653B3">
            <w:pPr>
              <w:spacing w:line="276" w:lineRule="auto"/>
              <w:jc w:val="both"/>
              <w:rPr>
                <w:rFonts w:cs="Arial"/>
              </w:rPr>
            </w:pPr>
            <w:r>
              <w:rPr>
                <w:rFonts w:cs="Arial"/>
              </w:rPr>
              <w:t>District</w:t>
            </w:r>
          </w:p>
        </w:tc>
        <w:tc>
          <w:tcPr>
            <w:tcW w:w="1486" w:type="dxa"/>
            <w:shd w:val="clear" w:color="auto" w:fill="D9D9D9" w:themeFill="background1" w:themeFillShade="D9"/>
          </w:tcPr>
          <w:p w14:paraId="53A1B6BF" w14:textId="77777777" w:rsidR="00417E78" w:rsidRDefault="00417E78" w:rsidP="001653B3">
            <w:pPr>
              <w:spacing w:line="276" w:lineRule="auto"/>
              <w:jc w:val="center"/>
              <w:rPr>
                <w:rFonts w:cs="Arial"/>
              </w:rPr>
            </w:pPr>
            <w:r>
              <w:rPr>
                <w:rFonts w:cs="Arial"/>
              </w:rPr>
              <w:t>2023-24</w:t>
            </w:r>
          </w:p>
        </w:tc>
        <w:tc>
          <w:tcPr>
            <w:tcW w:w="1932" w:type="dxa"/>
            <w:shd w:val="clear" w:color="auto" w:fill="D9D9D9" w:themeFill="background1" w:themeFillShade="D9"/>
          </w:tcPr>
          <w:p w14:paraId="7DECA635" w14:textId="77777777" w:rsidR="00417E78" w:rsidRDefault="00417E78" w:rsidP="001653B3">
            <w:pPr>
              <w:spacing w:line="276" w:lineRule="auto"/>
              <w:jc w:val="center"/>
              <w:rPr>
                <w:rFonts w:cs="Arial"/>
              </w:rPr>
            </w:pPr>
            <w:r>
              <w:rPr>
                <w:rFonts w:cs="Arial"/>
              </w:rPr>
              <w:t>2024-25</w:t>
            </w:r>
          </w:p>
        </w:tc>
        <w:tc>
          <w:tcPr>
            <w:tcW w:w="2377" w:type="dxa"/>
            <w:shd w:val="clear" w:color="auto" w:fill="D9D9D9" w:themeFill="background1" w:themeFillShade="D9"/>
          </w:tcPr>
          <w:p w14:paraId="7AB143E0" w14:textId="77777777" w:rsidR="00417E78" w:rsidRDefault="00417E78" w:rsidP="001653B3">
            <w:pPr>
              <w:spacing w:line="276" w:lineRule="auto"/>
              <w:jc w:val="center"/>
              <w:rPr>
                <w:rFonts w:cs="Arial"/>
              </w:rPr>
            </w:pPr>
            <w:r>
              <w:rPr>
                <w:rFonts w:cs="Arial"/>
              </w:rPr>
              <w:t>2025-26 (to 31Jan)</w:t>
            </w:r>
          </w:p>
        </w:tc>
      </w:tr>
      <w:tr w:rsidR="00417E78" w14:paraId="56FC412B" w14:textId="77777777" w:rsidTr="001653B3">
        <w:trPr>
          <w:trHeight w:val="346"/>
        </w:trPr>
        <w:tc>
          <w:tcPr>
            <w:tcW w:w="2966" w:type="dxa"/>
          </w:tcPr>
          <w:p w14:paraId="1263E81B" w14:textId="77777777" w:rsidR="00417E78" w:rsidRDefault="00417E78" w:rsidP="001653B3">
            <w:pPr>
              <w:spacing w:line="276" w:lineRule="auto"/>
              <w:jc w:val="both"/>
              <w:rPr>
                <w:rFonts w:cs="Arial"/>
              </w:rPr>
            </w:pPr>
            <w:r>
              <w:rPr>
                <w:rFonts w:cs="Arial"/>
              </w:rPr>
              <w:t>North</w:t>
            </w:r>
          </w:p>
        </w:tc>
        <w:tc>
          <w:tcPr>
            <w:tcW w:w="1486" w:type="dxa"/>
          </w:tcPr>
          <w:p w14:paraId="1DCC1094" w14:textId="77777777" w:rsidR="00417E78" w:rsidRDefault="00417E78" w:rsidP="001653B3">
            <w:pPr>
              <w:spacing w:line="276" w:lineRule="auto"/>
              <w:jc w:val="center"/>
              <w:rPr>
                <w:rFonts w:cs="Arial"/>
              </w:rPr>
            </w:pPr>
            <w:r>
              <w:rPr>
                <w:rFonts w:cs="Arial"/>
              </w:rPr>
              <w:t>790</w:t>
            </w:r>
          </w:p>
        </w:tc>
        <w:tc>
          <w:tcPr>
            <w:tcW w:w="1932" w:type="dxa"/>
          </w:tcPr>
          <w:p w14:paraId="38A4BD28" w14:textId="77777777" w:rsidR="00417E78" w:rsidRDefault="00417E78" w:rsidP="001653B3">
            <w:pPr>
              <w:spacing w:line="276" w:lineRule="auto"/>
              <w:jc w:val="center"/>
              <w:rPr>
                <w:rFonts w:cs="Arial"/>
              </w:rPr>
            </w:pPr>
            <w:r>
              <w:rPr>
                <w:rFonts w:cs="Arial"/>
              </w:rPr>
              <w:t>665</w:t>
            </w:r>
          </w:p>
        </w:tc>
        <w:tc>
          <w:tcPr>
            <w:tcW w:w="2377" w:type="dxa"/>
          </w:tcPr>
          <w:p w14:paraId="22F974A2" w14:textId="77777777" w:rsidR="00417E78" w:rsidRDefault="00417E78" w:rsidP="001653B3">
            <w:pPr>
              <w:spacing w:line="276" w:lineRule="auto"/>
              <w:jc w:val="center"/>
              <w:rPr>
                <w:rFonts w:cs="Arial"/>
              </w:rPr>
            </w:pPr>
            <w:r>
              <w:rPr>
                <w:rFonts w:cs="Arial"/>
              </w:rPr>
              <w:t>212</w:t>
            </w:r>
          </w:p>
        </w:tc>
      </w:tr>
      <w:tr w:rsidR="00417E78" w14:paraId="7DE14043" w14:textId="77777777" w:rsidTr="001653B3">
        <w:trPr>
          <w:trHeight w:val="329"/>
        </w:trPr>
        <w:tc>
          <w:tcPr>
            <w:tcW w:w="2966" w:type="dxa"/>
          </w:tcPr>
          <w:p w14:paraId="265CF20E" w14:textId="77777777" w:rsidR="00417E78" w:rsidRDefault="00417E78" w:rsidP="001653B3">
            <w:pPr>
              <w:spacing w:line="276" w:lineRule="auto"/>
              <w:jc w:val="both"/>
              <w:rPr>
                <w:rFonts w:cs="Arial"/>
              </w:rPr>
            </w:pPr>
            <w:r>
              <w:rPr>
                <w:rFonts w:cs="Arial"/>
              </w:rPr>
              <w:t>South</w:t>
            </w:r>
          </w:p>
        </w:tc>
        <w:tc>
          <w:tcPr>
            <w:tcW w:w="1486" w:type="dxa"/>
          </w:tcPr>
          <w:p w14:paraId="56BEB7FC" w14:textId="77777777" w:rsidR="00417E78" w:rsidRDefault="00417E78" w:rsidP="001653B3">
            <w:pPr>
              <w:spacing w:line="276" w:lineRule="auto"/>
              <w:jc w:val="center"/>
              <w:rPr>
                <w:rFonts w:cs="Arial"/>
              </w:rPr>
            </w:pPr>
            <w:r>
              <w:rPr>
                <w:rFonts w:cs="Arial"/>
              </w:rPr>
              <w:t>673</w:t>
            </w:r>
          </w:p>
        </w:tc>
        <w:tc>
          <w:tcPr>
            <w:tcW w:w="1932" w:type="dxa"/>
          </w:tcPr>
          <w:p w14:paraId="6DA52186" w14:textId="77777777" w:rsidR="00417E78" w:rsidRDefault="00417E78" w:rsidP="001653B3">
            <w:pPr>
              <w:spacing w:line="276" w:lineRule="auto"/>
              <w:jc w:val="center"/>
              <w:rPr>
                <w:rFonts w:cs="Arial"/>
              </w:rPr>
            </w:pPr>
            <w:r>
              <w:rPr>
                <w:rFonts w:cs="Arial"/>
              </w:rPr>
              <w:t>119</w:t>
            </w:r>
          </w:p>
        </w:tc>
        <w:tc>
          <w:tcPr>
            <w:tcW w:w="2377" w:type="dxa"/>
          </w:tcPr>
          <w:p w14:paraId="73040FDB" w14:textId="77777777" w:rsidR="00417E78" w:rsidRDefault="00417E78" w:rsidP="001653B3">
            <w:pPr>
              <w:spacing w:line="276" w:lineRule="auto"/>
              <w:jc w:val="center"/>
              <w:rPr>
                <w:rFonts w:cs="Arial"/>
              </w:rPr>
            </w:pPr>
            <w:r>
              <w:rPr>
                <w:rFonts w:cs="Arial"/>
              </w:rPr>
              <w:t>38</w:t>
            </w:r>
          </w:p>
        </w:tc>
      </w:tr>
      <w:tr w:rsidR="00417E78" w14:paraId="26E74AB8" w14:textId="77777777" w:rsidTr="001653B3">
        <w:trPr>
          <w:trHeight w:val="346"/>
        </w:trPr>
        <w:tc>
          <w:tcPr>
            <w:tcW w:w="2966" w:type="dxa"/>
          </w:tcPr>
          <w:p w14:paraId="456B4659" w14:textId="77777777" w:rsidR="00417E78" w:rsidRDefault="00417E78" w:rsidP="001653B3">
            <w:pPr>
              <w:spacing w:line="276" w:lineRule="auto"/>
              <w:jc w:val="both"/>
              <w:rPr>
                <w:rFonts w:cs="Arial"/>
              </w:rPr>
            </w:pPr>
            <w:r>
              <w:rPr>
                <w:rFonts w:cs="Arial"/>
              </w:rPr>
              <w:t>West</w:t>
            </w:r>
          </w:p>
        </w:tc>
        <w:tc>
          <w:tcPr>
            <w:tcW w:w="1486" w:type="dxa"/>
          </w:tcPr>
          <w:p w14:paraId="3F768F7C" w14:textId="77777777" w:rsidR="00417E78" w:rsidRDefault="00417E78" w:rsidP="001653B3">
            <w:pPr>
              <w:spacing w:line="276" w:lineRule="auto"/>
              <w:jc w:val="center"/>
              <w:rPr>
                <w:rFonts w:cs="Arial"/>
              </w:rPr>
            </w:pPr>
            <w:r>
              <w:rPr>
                <w:rFonts w:cs="Arial"/>
              </w:rPr>
              <w:t>937</w:t>
            </w:r>
          </w:p>
        </w:tc>
        <w:tc>
          <w:tcPr>
            <w:tcW w:w="1932" w:type="dxa"/>
          </w:tcPr>
          <w:p w14:paraId="426B6901" w14:textId="77777777" w:rsidR="00417E78" w:rsidRDefault="00417E78" w:rsidP="001653B3">
            <w:pPr>
              <w:spacing w:line="276" w:lineRule="auto"/>
              <w:jc w:val="center"/>
              <w:rPr>
                <w:rFonts w:cs="Arial"/>
              </w:rPr>
            </w:pPr>
            <w:r>
              <w:rPr>
                <w:rFonts w:cs="Arial"/>
              </w:rPr>
              <w:t>1151</w:t>
            </w:r>
          </w:p>
        </w:tc>
        <w:tc>
          <w:tcPr>
            <w:tcW w:w="2377" w:type="dxa"/>
          </w:tcPr>
          <w:p w14:paraId="2DA826DA" w14:textId="77777777" w:rsidR="00417E78" w:rsidRDefault="00417E78" w:rsidP="001653B3">
            <w:pPr>
              <w:spacing w:line="276" w:lineRule="auto"/>
              <w:jc w:val="center"/>
              <w:rPr>
                <w:rFonts w:cs="Arial"/>
              </w:rPr>
            </w:pPr>
            <w:r>
              <w:rPr>
                <w:rFonts w:cs="Arial"/>
              </w:rPr>
              <w:t>257</w:t>
            </w:r>
          </w:p>
        </w:tc>
      </w:tr>
      <w:tr w:rsidR="00417E78" w14:paraId="17484D98" w14:textId="77777777" w:rsidTr="001653B3">
        <w:trPr>
          <w:trHeight w:val="346"/>
        </w:trPr>
        <w:tc>
          <w:tcPr>
            <w:tcW w:w="2966" w:type="dxa"/>
          </w:tcPr>
          <w:p w14:paraId="122A404D" w14:textId="77777777" w:rsidR="00417E78" w:rsidRDefault="00417E78" w:rsidP="001653B3">
            <w:pPr>
              <w:spacing w:line="276" w:lineRule="auto"/>
              <w:jc w:val="both"/>
              <w:rPr>
                <w:rFonts w:cs="Arial"/>
              </w:rPr>
            </w:pPr>
            <w:r>
              <w:rPr>
                <w:rFonts w:cs="Arial"/>
              </w:rPr>
              <w:lastRenderedPageBreak/>
              <w:t xml:space="preserve">Marine &amp; Rescue </w:t>
            </w:r>
            <w:proofErr w:type="spellStart"/>
            <w:r>
              <w:rPr>
                <w:rFonts w:cs="Arial"/>
              </w:rPr>
              <w:t>Svcs</w:t>
            </w:r>
            <w:proofErr w:type="spellEnd"/>
          </w:p>
        </w:tc>
        <w:tc>
          <w:tcPr>
            <w:tcW w:w="1486" w:type="dxa"/>
          </w:tcPr>
          <w:p w14:paraId="79F17A13" w14:textId="77777777" w:rsidR="00417E78" w:rsidRDefault="00417E78" w:rsidP="001653B3">
            <w:pPr>
              <w:spacing w:line="276" w:lineRule="auto"/>
              <w:jc w:val="center"/>
              <w:rPr>
                <w:rFonts w:cs="Arial"/>
              </w:rPr>
            </w:pPr>
            <w:r>
              <w:rPr>
                <w:rFonts w:cs="Arial"/>
              </w:rPr>
              <w:t>1869</w:t>
            </w:r>
          </w:p>
        </w:tc>
        <w:tc>
          <w:tcPr>
            <w:tcW w:w="1932" w:type="dxa"/>
          </w:tcPr>
          <w:p w14:paraId="3FE51C45" w14:textId="77777777" w:rsidR="00417E78" w:rsidRDefault="00417E78" w:rsidP="001653B3">
            <w:pPr>
              <w:spacing w:line="276" w:lineRule="auto"/>
              <w:jc w:val="center"/>
              <w:rPr>
                <w:rFonts w:cs="Arial"/>
              </w:rPr>
            </w:pPr>
            <w:r>
              <w:rPr>
                <w:rFonts w:cs="Arial"/>
              </w:rPr>
              <w:t>1615</w:t>
            </w:r>
          </w:p>
        </w:tc>
        <w:tc>
          <w:tcPr>
            <w:tcW w:w="2377" w:type="dxa"/>
          </w:tcPr>
          <w:p w14:paraId="537A5629" w14:textId="77777777" w:rsidR="00417E78" w:rsidRDefault="00417E78" w:rsidP="001653B3">
            <w:pPr>
              <w:spacing w:line="276" w:lineRule="auto"/>
              <w:jc w:val="center"/>
              <w:rPr>
                <w:rFonts w:cs="Arial"/>
              </w:rPr>
            </w:pPr>
            <w:r>
              <w:rPr>
                <w:rFonts w:cs="Arial"/>
              </w:rPr>
              <w:t>435</w:t>
            </w:r>
          </w:p>
        </w:tc>
      </w:tr>
      <w:tr w:rsidR="00417E78" w14:paraId="1D7F0D01" w14:textId="77777777" w:rsidTr="001653B3">
        <w:trPr>
          <w:trHeight w:val="306"/>
        </w:trPr>
        <w:tc>
          <w:tcPr>
            <w:tcW w:w="2966" w:type="dxa"/>
          </w:tcPr>
          <w:p w14:paraId="4BD58CDF" w14:textId="77777777" w:rsidR="00417E78" w:rsidRPr="0062143B" w:rsidRDefault="00417E78" w:rsidP="001653B3">
            <w:pPr>
              <w:spacing w:line="276" w:lineRule="auto"/>
              <w:jc w:val="both"/>
              <w:rPr>
                <w:rFonts w:cs="Arial"/>
                <w:b/>
                <w:bCs/>
              </w:rPr>
            </w:pPr>
            <w:r w:rsidRPr="0062143B">
              <w:rPr>
                <w:rFonts w:cs="Arial"/>
                <w:b/>
                <w:bCs/>
              </w:rPr>
              <w:t>Total</w:t>
            </w:r>
          </w:p>
        </w:tc>
        <w:tc>
          <w:tcPr>
            <w:tcW w:w="1486" w:type="dxa"/>
          </w:tcPr>
          <w:p w14:paraId="5A8A19E2" w14:textId="77777777" w:rsidR="00417E78" w:rsidRPr="0062143B" w:rsidRDefault="00417E78" w:rsidP="001653B3">
            <w:pPr>
              <w:spacing w:line="276" w:lineRule="auto"/>
              <w:jc w:val="center"/>
              <w:rPr>
                <w:rFonts w:cs="Arial"/>
                <w:b/>
                <w:bCs/>
              </w:rPr>
            </w:pPr>
            <w:r>
              <w:rPr>
                <w:rFonts w:cs="Arial"/>
                <w:b/>
                <w:bCs/>
              </w:rPr>
              <w:t>4269</w:t>
            </w:r>
          </w:p>
        </w:tc>
        <w:tc>
          <w:tcPr>
            <w:tcW w:w="1932" w:type="dxa"/>
          </w:tcPr>
          <w:p w14:paraId="7F0FC8E4" w14:textId="77777777" w:rsidR="00417E78" w:rsidRPr="0062143B" w:rsidRDefault="00417E78" w:rsidP="001653B3">
            <w:pPr>
              <w:spacing w:line="276" w:lineRule="auto"/>
              <w:jc w:val="center"/>
              <w:rPr>
                <w:rFonts w:cs="Arial"/>
                <w:b/>
                <w:bCs/>
              </w:rPr>
            </w:pPr>
            <w:r>
              <w:rPr>
                <w:rFonts w:cs="Arial"/>
                <w:b/>
                <w:bCs/>
              </w:rPr>
              <w:t>3550</w:t>
            </w:r>
          </w:p>
        </w:tc>
        <w:tc>
          <w:tcPr>
            <w:tcW w:w="2377" w:type="dxa"/>
          </w:tcPr>
          <w:p w14:paraId="1B9AD235" w14:textId="77777777" w:rsidR="00417E78" w:rsidRPr="0062143B" w:rsidRDefault="00417E78" w:rsidP="001653B3">
            <w:pPr>
              <w:spacing w:line="276" w:lineRule="auto"/>
              <w:jc w:val="center"/>
              <w:rPr>
                <w:rFonts w:cs="Arial"/>
                <w:b/>
                <w:bCs/>
              </w:rPr>
            </w:pPr>
            <w:r>
              <w:rPr>
                <w:rFonts w:cs="Arial"/>
                <w:b/>
                <w:bCs/>
              </w:rPr>
              <w:t>942</w:t>
            </w:r>
          </w:p>
        </w:tc>
      </w:tr>
    </w:tbl>
    <w:p w14:paraId="2E22995C" w14:textId="77777777" w:rsidR="00417E78" w:rsidRDefault="00417E78" w:rsidP="00417E78">
      <w:pPr>
        <w:spacing w:line="276" w:lineRule="auto"/>
        <w:jc w:val="both"/>
        <w:rPr>
          <w:rFonts w:ascii="Aptos" w:eastAsia="Aptos" w:hAnsi="Aptos" w:cs="Aptos"/>
          <w:sz w:val="22"/>
          <w:szCs w:val="22"/>
          <w:lang w:eastAsia="en-US"/>
        </w:rPr>
      </w:pPr>
      <w:r w:rsidRPr="0062143B">
        <w:rPr>
          <w:rFonts w:ascii="Aptos" w:eastAsia="Aptos" w:hAnsi="Aptos" w:cs="Aptos"/>
          <w:sz w:val="22"/>
          <w:szCs w:val="22"/>
          <w:lang w:eastAsia="en-US"/>
        </w:rPr>
        <w:t>Source: District Marine Services 2 March 2026</w:t>
      </w:r>
    </w:p>
    <w:p w14:paraId="00622888" w14:textId="77777777" w:rsidR="00417E78" w:rsidRPr="00350661" w:rsidRDefault="00417E78" w:rsidP="00417E78">
      <w:pPr>
        <w:spacing w:line="276" w:lineRule="auto"/>
        <w:jc w:val="both"/>
        <w:rPr>
          <w:rFonts w:ascii="Aptos" w:eastAsia="Aptos" w:hAnsi="Aptos" w:cs="Aptos"/>
          <w:b/>
          <w:bCs/>
          <w:sz w:val="22"/>
          <w:szCs w:val="22"/>
          <w:lang w:eastAsia="en-US"/>
        </w:rPr>
      </w:pPr>
    </w:p>
    <w:p w14:paraId="50B98F2B" w14:textId="77777777" w:rsidR="00417E78" w:rsidRPr="00350661" w:rsidRDefault="00417E78" w:rsidP="00417E78">
      <w:pPr>
        <w:spacing w:line="276" w:lineRule="auto"/>
        <w:jc w:val="both"/>
        <w:rPr>
          <w:rFonts w:ascii="Aptos" w:eastAsia="Aptos" w:hAnsi="Aptos" w:cs="Aptos"/>
          <w:b/>
          <w:bCs/>
          <w:sz w:val="22"/>
          <w:szCs w:val="22"/>
          <w:lang w:eastAsia="en-US"/>
        </w:rPr>
      </w:pPr>
      <w:r>
        <w:rPr>
          <w:rFonts w:ascii="Aptos" w:eastAsia="Aptos" w:hAnsi="Aptos" w:cs="Aptos"/>
          <w:b/>
          <w:bCs/>
          <w:sz w:val="22"/>
          <w:szCs w:val="22"/>
          <w:lang w:eastAsia="en-US"/>
        </w:rPr>
        <w:t>Summary of caution and infringement notices of 1 Jul 23 – 23 Feb 26 offences across the fisheries</w:t>
      </w:r>
    </w:p>
    <w:p w14:paraId="79B65370" w14:textId="77777777" w:rsidR="00417E78" w:rsidRDefault="00417E78" w:rsidP="00417E78">
      <w:pPr>
        <w:rPr>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969"/>
        <w:gridCol w:w="2969"/>
      </w:tblGrid>
      <w:tr w:rsidR="00417E78" w14:paraId="00B35138" w14:textId="77777777" w:rsidTr="001653B3">
        <w:trPr>
          <w:trHeight w:val="409"/>
        </w:trPr>
        <w:tc>
          <w:tcPr>
            <w:tcW w:w="29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ABF0B6" w14:textId="77777777" w:rsidR="00417E78" w:rsidRDefault="00417E78" w:rsidP="001653B3">
            <w:pPr>
              <w:spacing w:line="288" w:lineRule="auto"/>
              <w:jc w:val="center"/>
              <w:rPr>
                <w:color w:val="000000"/>
              </w:rPr>
            </w:pPr>
            <w:r>
              <w:rPr>
                <w:b/>
                <w:bCs/>
                <w:color w:val="000000"/>
              </w:rPr>
              <w:t>Total recreational fisheries offenders</w:t>
            </w:r>
          </w:p>
        </w:tc>
        <w:tc>
          <w:tcPr>
            <w:tcW w:w="2969" w:type="dxa"/>
            <w:tcBorders>
              <w:top w:val="single" w:sz="8" w:space="0" w:color="auto"/>
              <w:left w:val="outset" w:sz="6"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93E6E39" w14:textId="77777777" w:rsidR="00417E78" w:rsidRDefault="00417E78" w:rsidP="001653B3">
            <w:pPr>
              <w:spacing w:line="288" w:lineRule="auto"/>
              <w:jc w:val="center"/>
              <w:rPr>
                <w:color w:val="000000"/>
              </w:rPr>
            </w:pPr>
            <w:r>
              <w:rPr>
                <w:b/>
                <w:bCs/>
                <w:color w:val="000000"/>
              </w:rPr>
              <w:t>1343</w:t>
            </w:r>
          </w:p>
        </w:tc>
        <w:tc>
          <w:tcPr>
            <w:tcW w:w="2969" w:type="dxa"/>
            <w:tcBorders>
              <w:top w:val="single" w:sz="8" w:space="0" w:color="auto"/>
              <w:left w:val="outset" w:sz="6"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B17876D" w14:textId="77777777" w:rsidR="00417E78" w:rsidRDefault="00417E78" w:rsidP="001653B3">
            <w:pPr>
              <w:spacing w:line="288" w:lineRule="auto"/>
              <w:jc w:val="center"/>
              <w:rPr>
                <w:color w:val="000000"/>
              </w:rPr>
            </w:pPr>
            <w:r>
              <w:rPr>
                <w:b/>
                <w:bCs/>
                <w:color w:val="000000"/>
              </w:rPr>
              <w:t>% of total offenders</w:t>
            </w:r>
          </w:p>
        </w:tc>
      </w:tr>
      <w:tr w:rsidR="00417E78" w14:paraId="3930D0AC" w14:textId="77777777" w:rsidTr="001653B3">
        <w:trPr>
          <w:trHeight w:val="213"/>
        </w:trPr>
        <w:tc>
          <w:tcPr>
            <w:tcW w:w="2969"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F851E" w14:textId="77777777" w:rsidR="00417E78" w:rsidRDefault="00417E78" w:rsidP="001653B3">
            <w:pPr>
              <w:spacing w:line="288" w:lineRule="auto"/>
              <w:jc w:val="center"/>
              <w:rPr>
                <w:color w:val="000000"/>
              </w:rPr>
            </w:pPr>
            <w:r>
              <w:rPr>
                <w:color w:val="000000"/>
              </w:rPr>
              <w:t>Abalone</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1E2BD71" w14:textId="77777777" w:rsidR="00417E78" w:rsidRDefault="00417E78" w:rsidP="001653B3">
            <w:pPr>
              <w:spacing w:line="288" w:lineRule="auto"/>
              <w:jc w:val="center"/>
              <w:rPr>
                <w:color w:val="000000"/>
              </w:rPr>
            </w:pPr>
            <w:r>
              <w:rPr>
                <w:color w:val="000000"/>
              </w:rPr>
              <w:t>63</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28A92DC" w14:textId="77777777" w:rsidR="00417E78" w:rsidRDefault="00417E78" w:rsidP="001653B3">
            <w:pPr>
              <w:spacing w:line="288" w:lineRule="auto"/>
              <w:jc w:val="center"/>
              <w:rPr>
                <w:color w:val="000000"/>
              </w:rPr>
            </w:pPr>
            <w:r>
              <w:rPr>
                <w:color w:val="000000"/>
              </w:rPr>
              <w:t>5%</w:t>
            </w:r>
          </w:p>
        </w:tc>
      </w:tr>
      <w:tr w:rsidR="00417E78" w14:paraId="4686AB49" w14:textId="77777777" w:rsidTr="001653B3">
        <w:trPr>
          <w:trHeight w:val="204"/>
        </w:trPr>
        <w:tc>
          <w:tcPr>
            <w:tcW w:w="2969"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22CA7" w14:textId="77777777" w:rsidR="00417E78" w:rsidRDefault="00417E78" w:rsidP="001653B3">
            <w:pPr>
              <w:spacing w:line="288" w:lineRule="auto"/>
              <w:jc w:val="center"/>
              <w:rPr>
                <w:color w:val="000000"/>
              </w:rPr>
            </w:pPr>
            <w:r>
              <w:rPr>
                <w:color w:val="000000"/>
              </w:rPr>
              <w:t>Rock lobster</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437D829" w14:textId="77777777" w:rsidR="00417E78" w:rsidRDefault="00417E78" w:rsidP="001653B3">
            <w:pPr>
              <w:spacing w:line="288" w:lineRule="auto"/>
              <w:jc w:val="center"/>
              <w:rPr>
                <w:color w:val="000000"/>
              </w:rPr>
            </w:pPr>
            <w:r>
              <w:rPr>
                <w:color w:val="000000"/>
              </w:rPr>
              <w:t>718</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D6C8065" w14:textId="77777777" w:rsidR="00417E78" w:rsidRDefault="00417E78" w:rsidP="001653B3">
            <w:pPr>
              <w:spacing w:line="288" w:lineRule="auto"/>
              <w:jc w:val="center"/>
              <w:rPr>
                <w:color w:val="000000"/>
              </w:rPr>
            </w:pPr>
            <w:r>
              <w:rPr>
                <w:color w:val="000000"/>
              </w:rPr>
              <w:t>53%</w:t>
            </w:r>
          </w:p>
        </w:tc>
      </w:tr>
      <w:tr w:rsidR="00417E78" w14:paraId="1093F830" w14:textId="77777777" w:rsidTr="001653B3">
        <w:trPr>
          <w:trHeight w:val="213"/>
        </w:trPr>
        <w:tc>
          <w:tcPr>
            <w:tcW w:w="2969"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5EE74" w14:textId="77777777" w:rsidR="00417E78" w:rsidRDefault="00417E78" w:rsidP="001653B3">
            <w:pPr>
              <w:spacing w:line="288" w:lineRule="auto"/>
              <w:jc w:val="center"/>
              <w:rPr>
                <w:color w:val="000000"/>
              </w:rPr>
            </w:pPr>
            <w:proofErr w:type="spellStart"/>
            <w:r>
              <w:rPr>
                <w:color w:val="000000"/>
              </w:rPr>
              <w:t>Scalefish</w:t>
            </w:r>
            <w:proofErr w:type="spellEnd"/>
            <w:r>
              <w:rPr>
                <w:color w:val="000000"/>
              </w:rPr>
              <w:t xml:space="preserve"> – sand flathead</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C79B74C" w14:textId="77777777" w:rsidR="00417E78" w:rsidRDefault="00417E78" w:rsidP="001653B3">
            <w:pPr>
              <w:spacing w:line="288" w:lineRule="auto"/>
              <w:jc w:val="center"/>
              <w:rPr>
                <w:color w:val="000000"/>
              </w:rPr>
            </w:pPr>
            <w:r>
              <w:rPr>
                <w:color w:val="000000"/>
              </w:rPr>
              <w:t xml:space="preserve">226 </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479D2AC" w14:textId="77777777" w:rsidR="00417E78" w:rsidRDefault="00417E78" w:rsidP="001653B3">
            <w:pPr>
              <w:spacing w:line="288" w:lineRule="auto"/>
              <w:jc w:val="center"/>
              <w:rPr>
                <w:color w:val="000000"/>
              </w:rPr>
            </w:pPr>
            <w:r>
              <w:rPr>
                <w:color w:val="000000"/>
              </w:rPr>
              <w:t>17%</w:t>
            </w:r>
          </w:p>
        </w:tc>
      </w:tr>
      <w:tr w:rsidR="00417E78" w14:paraId="3279A4BA" w14:textId="77777777" w:rsidTr="001653B3">
        <w:trPr>
          <w:trHeight w:val="204"/>
        </w:trPr>
        <w:tc>
          <w:tcPr>
            <w:tcW w:w="2969"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A50BE7" w14:textId="77777777" w:rsidR="00417E78" w:rsidRDefault="00417E78" w:rsidP="001653B3">
            <w:pPr>
              <w:spacing w:line="288" w:lineRule="auto"/>
              <w:jc w:val="center"/>
              <w:rPr>
                <w:color w:val="000000"/>
              </w:rPr>
            </w:pPr>
            <w:proofErr w:type="spellStart"/>
            <w:r>
              <w:rPr>
                <w:color w:val="000000"/>
              </w:rPr>
              <w:t>Scalefish</w:t>
            </w:r>
            <w:proofErr w:type="spellEnd"/>
            <w:r>
              <w:rPr>
                <w:color w:val="000000"/>
              </w:rPr>
              <w:t> – other</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1C654D1" w14:textId="77777777" w:rsidR="00417E78" w:rsidRDefault="00417E78" w:rsidP="001653B3">
            <w:pPr>
              <w:spacing w:line="288" w:lineRule="auto"/>
              <w:jc w:val="center"/>
              <w:rPr>
                <w:color w:val="000000"/>
              </w:rPr>
            </w:pPr>
            <w:r>
              <w:rPr>
                <w:color w:val="000000"/>
              </w:rPr>
              <w:t>254 </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0B09CBC" w14:textId="77777777" w:rsidR="00417E78" w:rsidRDefault="00417E78" w:rsidP="001653B3">
            <w:pPr>
              <w:spacing w:line="288" w:lineRule="auto"/>
              <w:jc w:val="center"/>
              <w:rPr>
                <w:color w:val="000000"/>
              </w:rPr>
            </w:pPr>
            <w:r>
              <w:rPr>
                <w:color w:val="000000"/>
              </w:rPr>
              <w:t>19%</w:t>
            </w:r>
          </w:p>
        </w:tc>
      </w:tr>
      <w:tr w:rsidR="00417E78" w14:paraId="47C9FAF7" w14:textId="77777777" w:rsidTr="001653B3">
        <w:trPr>
          <w:trHeight w:val="213"/>
        </w:trPr>
        <w:tc>
          <w:tcPr>
            <w:tcW w:w="2969"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B13188" w14:textId="77777777" w:rsidR="00417E78" w:rsidRDefault="00417E78" w:rsidP="001653B3">
            <w:pPr>
              <w:spacing w:line="288" w:lineRule="auto"/>
              <w:jc w:val="center"/>
              <w:rPr>
                <w:color w:val="000000"/>
              </w:rPr>
            </w:pPr>
            <w:r>
              <w:rPr>
                <w:color w:val="000000"/>
              </w:rPr>
              <w:t>Scallop</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BC636ED" w14:textId="77777777" w:rsidR="00417E78" w:rsidRDefault="00417E78" w:rsidP="001653B3">
            <w:pPr>
              <w:spacing w:line="288" w:lineRule="auto"/>
              <w:jc w:val="center"/>
              <w:rPr>
                <w:color w:val="000000"/>
              </w:rPr>
            </w:pPr>
            <w:r>
              <w:rPr>
                <w:color w:val="000000"/>
              </w:rPr>
              <w:t>44</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E35FA24" w14:textId="77777777" w:rsidR="00417E78" w:rsidRDefault="00417E78" w:rsidP="001653B3">
            <w:pPr>
              <w:spacing w:line="288" w:lineRule="auto"/>
              <w:jc w:val="center"/>
              <w:rPr>
                <w:color w:val="000000"/>
              </w:rPr>
            </w:pPr>
            <w:r>
              <w:rPr>
                <w:color w:val="000000"/>
              </w:rPr>
              <w:t>3%</w:t>
            </w:r>
          </w:p>
        </w:tc>
      </w:tr>
      <w:tr w:rsidR="00417E78" w14:paraId="0DE42C71" w14:textId="77777777" w:rsidTr="001653B3">
        <w:trPr>
          <w:trHeight w:val="42"/>
        </w:trPr>
        <w:tc>
          <w:tcPr>
            <w:tcW w:w="2969"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D9EF0" w14:textId="77777777" w:rsidR="00417E78" w:rsidRDefault="00417E78" w:rsidP="001653B3">
            <w:pPr>
              <w:spacing w:line="288" w:lineRule="auto"/>
              <w:jc w:val="center"/>
              <w:rPr>
                <w:color w:val="000000"/>
              </w:rPr>
            </w:pPr>
            <w:r>
              <w:rPr>
                <w:color w:val="000000"/>
              </w:rPr>
              <w:t>Other</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1B7226B" w14:textId="77777777" w:rsidR="00417E78" w:rsidRDefault="00417E78" w:rsidP="001653B3">
            <w:pPr>
              <w:spacing w:line="288" w:lineRule="auto"/>
              <w:jc w:val="center"/>
              <w:rPr>
                <w:color w:val="000000"/>
              </w:rPr>
            </w:pPr>
            <w:r>
              <w:rPr>
                <w:color w:val="000000"/>
              </w:rPr>
              <w:t>38</w:t>
            </w:r>
          </w:p>
        </w:tc>
        <w:tc>
          <w:tcPr>
            <w:tcW w:w="296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9B05CC7" w14:textId="77777777" w:rsidR="00417E78" w:rsidRDefault="00417E78" w:rsidP="001653B3">
            <w:pPr>
              <w:spacing w:line="288" w:lineRule="auto"/>
              <w:jc w:val="center"/>
              <w:rPr>
                <w:color w:val="000000"/>
              </w:rPr>
            </w:pPr>
            <w:r>
              <w:rPr>
                <w:color w:val="000000"/>
              </w:rPr>
              <w:t>3%</w:t>
            </w:r>
          </w:p>
        </w:tc>
      </w:tr>
    </w:tbl>
    <w:p w14:paraId="05899EFB" w14:textId="77777777" w:rsidR="00417E78" w:rsidRPr="0000685F" w:rsidRDefault="00417E78" w:rsidP="00417E78">
      <w:pPr>
        <w:overflowPunct/>
        <w:autoSpaceDE/>
        <w:autoSpaceDN/>
        <w:adjustRightInd/>
        <w:textAlignment w:val="auto"/>
        <w:rPr>
          <w:rFonts w:ascii="Aptos" w:hAnsi="Aptos" w:cs="Calibri"/>
          <w:lang w:eastAsia="en-US"/>
        </w:rPr>
      </w:pPr>
    </w:p>
    <w:p w14:paraId="0BA4B1F1" w14:textId="77777777" w:rsidR="00417E78" w:rsidRPr="00384034" w:rsidRDefault="00417E78" w:rsidP="00417E78">
      <w:pPr>
        <w:spacing w:line="276" w:lineRule="auto"/>
        <w:jc w:val="both"/>
        <w:rPr>
          <w:rFonts w:cs="Arial"/>
          <w:sz w:val="18"/>
          <w:szCs w:val="18"/>
        </w:rPr>
      </w:pPr>
    </w:p>
    <w:p w14:paraId="484B2B37" w14:textId="77777777" w:rsidR="00417E78" w:rsidRDefault="00417E78" w:rsidP="00417E78">
      <w:pPr>
        <w:numPr>
          <w:ilvl w:val="0"/>
          <w:numId w:val="1"/>
        </w:numPr>
        <w:tabs>
          <w:tab w:val="clear" w:pos="720"/>
          <w:tab w:val="num" w:pos="426"/>
        </w:tabs>
        <w:spacing w:line="276" w:lineRule="auto"/>
        <w:ind w:hanging="720"/>
        <w:jc w:val="both"/>
        <w:rPr>
          <w:rFonts w:cs="Arial"/>
        </w:rPr>
      </w:pPr>
      <w:r w:rsidRPr="00384034">
        <w:rPr>
          <w:rFonts w:cs="Arial"/>
        </w:rPr>
        <w:t> </w:t>
      </w:r>
      <w:r>
        <w:rPr>
          <w:rFonts w:cs="Arial"/>
        </w:rPr>
        <w:t>In relation to compliance checks on recreational fishers</w:t>
      </w:r>
      <w:r w:rsidRPr="00384034">
        <w:rPr>
          <w:rFonts w:cs="Arial"/>
        </w:rPr>
        <w:t>:</w:t>
      </w:r>
    </w:p>
    <w:p w14:paraId="06C5AD75" w14:textId="77777777" w:rsidR="00417E78" w:rsidRPr="00384034" w:rsidRDefault="00417E78" w:rsidP="00417E78">
      <w:pPr>
        <w:spacing w:line="276" w:lineRule="auto"/>
        <w:jc w:val="both"/>
        <w:rPr>
          <w:rFonts w:cs="Arial"/>
          <w:sz w:val="8"/>
          <w:szCs w:val="8"/>
        </w:rPr>
      </w:pPr>
    </w:p>
    <w:p w14:paraId="689C1820" w14:textId="77777777" w:rsidR="00417E78" w:rsidRDefault="00417E78" w:rsidP="00417E78">
      <w:pPr>
        <w:spacing w:line="276" w:lineRule="auto"/>
        <w:jc w:val="both"/>
        <w:rPr>
          <w:rFonts w:cs="Arial"/>
        </w:rPr>
      </w:pPr>
      <w:r>
        <w:rPr>
          <w:rFonts w:cs="Arial"/>
        </w:rPr>
        <w:t xml:space="preserve">Amount of effort directed to recreational fisheries enforcement; using offender detections as a data set, it is 89% of overall offenders identified. </w:t>
      </w:r>
    </w:p>
    <w:p w14:paraId="47566D6C" w14:textId="77777777" w:rsidR="00417E78" w:rsidRDefault="00417E78" w:rsidP="00417E78">
      <w:pPr>
        <w:spacing w:line="276" w:lineRule="auto"/>
        <w:jc w:val="both"/>
        <w:rPr>
          <w:rFonts w:cs="Arial"/>
        </w:rPr>
      </w:pPr>
    </w:p>
    <w:tbl>
      <w:tblPr>
        <w:tblStyle w:val="TableGrid"/>
        <w:tblW w:w="0" w:type="auto"/>
        <w:tblLook w:val="04A0" w:firstRow="1" w:lastRow="0" w:firstColumn="1" w:lastColumn="0" w:noHBand="0" w:noVBand="1"/>
      </w:tblPr>
      <w:tblGrid>
        <w:gridCol w:w="4390"/>
        <w:gridCol w:w="750"/>
        <w:gridCol w:w="1701"/>
      </w:tblGrid>
      <w:tr w:rsidR="00417E78" w14:paraId="33A4AF86" w14:textId="77777777" w:rsidTr="001653B3">
        <w:tc>
          <w:tcPr>
            <w:tcW w:w="4390" w:type="dxa"/>
            <w:shd w:val="clear" w:color="auto" w:fill="D9D9D9" w:themeFill="background1" w:themeFillShade="D9"/>
          </w:tcPr>
          <w:p w14:paraId="59B0B45B" w14:textId="77777777" w:rsidR="00417E78" w:rsidRDefault="00417E78" w:rsidP="001653B3">
            <w:pPr>
              <w:spacing w:line="276" w:lineRule="auto"/>
              <w:jc w:val="both"/>
              <w:rPr>
                <w:rFonts w:cs="Arial"/>
              </w:rPr>
            </w:pPr>
            <w:r>
              <w:rPr>
                <w:rFonts w:cs="Arial"/>
              </w:rPr>
              <w:t>Total excluding not related to fishing</w:t>
            </w:r>
          </w:p>
        </w:tc>
        <w:tc>
          <w:tcPr>
            <w:tcW w:w="283" w:type="dxa"/>
            <w:shd w:val="clear" w:color="auto" w:fill="D9D9D9" w:themeFill="background1" w:themeFillShade="D9"/>
          </w:tcPr>
          <w:p w14:paraId="6B03E504" w14:textId="77777777" w:rsidR="00417E78" w:rsidRDefault="00417E78" w:rsidP="001653B3">
            <w:pPr>
              <w:spacing w:line="276" w:lineRule="auto"/>
              <w:jc w:val="both"/>
              <w:rPr>
                <w:rFonts w:cs="Arial"/>
              </w:rPr>
            </w:pPr>
            <w:r>
              <w:rPr>
                <w:rFonts w:cs="Arial"/>
              </w:rPr>
              <w:t>1316</w:t>
            </w:r>
          </w:p>
        </w:tc>
        <w:tc>
          <w:tcPr>
            <w:tcW w:w="1701" w:type="dxa"/>
            <w:shd w:val="clear" w:color="auto" w:fill="D9D9D9" w:themeFill="background1" w:themeFillShade="D9"/>
          </w:tcPr>
          <w:p w14:paraId="0F75C21E" w14:textId="77777777" w:rsidR="00417E78" w:rsidRDefault="00417E78" w:rsidP="001653B3">
            <w:pPr>
              <w:spacing w:line="276" w:lineRule="auto"/>
              <w:jc w:val="both"/>
              <w:rPr>
                <w:rFonts w:cs="Arial"/>
              </w:rPr>
            </w:pPr>
            <w:r>
              <w:rPr>
                <w:rFonts w:cs="Arial"/>
              </w:rPr>
              <w:t>100%</w:t>
            </w:r>
          </w:p>
        </w:tc>
      </w:tr>
      <w:tr w:rsidR="00417E78" w14:paraId="5D82FE92" w14:textId="77777777" w:rsidTr="001653B3">
        <w:tc>
          <w:tcPr>
            <w:tcW w:w="4390" w:type="dxa"/>
          </w:tcPr>
          <w:p w14:paraId="4FEE6B1D" w14:textId="77777777" w:rsidR="00417E78" w:rsidRDefault="00417E78" w:rsidP="001653B3">
            <w:pPr>
              <w:spacing w:line="276" w:lineRule="auto"/>
              <w:jc w:val="both"/>
              <w:rPr>
                <w:rFonts w:cs="Arial"/>
              </w:rPr>
            </w:pPr>
            <w:r>
              <w:rPr>
                <w:rFonts w:cs="Arial"/>
              </w:rPr>
              <w:t>Commercial offenders</w:t>
            </w:r>
          </w:p>
        </w:tc>
        <w:tc>
          <w:tcPr>
            <w:tcW w:w="283" w:type="dxa"/>
          </w:tcPr>
          <w:p w14:paraId="089023A9" w14:textId="77777777" w:rsidR="00417E78" w:rsidRDefault="00417E78" w:rsidP="001653B3">
            <w:pPr>
              <w:spacing w:line="276" w:lineRule="auto"/>
              <w:jc w:val="both"/>
              <w:rPr>
                <w:rFonts w:cs="Arial"/>
              </w:rPr>
            </w:pPr>
            <w:r>
              <w:rPr>
                <w:rFonts w:cs="Arial"/>
              </w:rPr>
              <w:t>146</w:t>
            </w:r>
          </w:p>
        </w:tc>
        <w:tc>
          <w:tcPr>
            <w:tcW w:w="1701" w:type="dxa"/>
          </w:tcPr>
          <w:p w14:paraId="1CB4C1FE" w14:textId="77777777" w:rsidR="00417E78" w:rsidRDefault="00417E78" w:rsidP="001653B3">
            <w:pPr>
              <w:spacing w:line="276" w:lineRule="auto"/>
              <w:jc w:val="both"/>
              <w:rPr>
                <w:rFonts w:cs="Arial"/>
              </w:rPr>
            </w:pPr>
            <w:r>
              <w:rPr>
                <w:rFonts w:cs="Arial"/>
              </w:rPr>
              <w:t>11%</w:t>
            </w:r>
          </w:p>
        </w:tc>
      </w:tr>
      <w:tr w:rsidR="00417E78" w14:paraId="66A9E04E" w14:textId="77777777" w:rsidTr="001653B3">
        <w:tc>
          <w:tcPr>
            <w:tcW w:w="4390" w:type="dxa"/>
          </w:tcPr>
          <w:p w14:paraId="056D03F4" w14:textId="77777777" w:rsidR="00417E78" w:rsidRDefault="00417E78" w:rsidP="001653B3">
            <w:pPr>
              <w:spacing w:line="276" w:lineRule="auto"/>
              <w:jc w:val="both"/>
              <w:rPr>
                <w:rFonts w:cs="Arial"/>
              </w:rPr>
            </w:pPr>
            <w:r>
              <w:rPr>
                <w:rFonts w:cs="Arial"/>
              </w:rPr>
              <w:t>Recreational offenders</w:t>
            </w:r>
          </w:p>
        </w:tc>
        <w:tc>
          <w:tcPr>
            <w:tcW w:w="283" w:type="dxa"/>
          </w:tcPr>
          <w:p w14:paraId="423D641C" w14:textId="77777777" w:rsidR="00417E78" w:rsidRDefault="00417E78" w:rsidP="001653B3">
            <w:pPr>
              <w:spacing w:line="276" w:lineRule="auto"/>
              <w:jc w:val="both"/>
              <w:rPr>
                <w:rFonts w:cs="Arial"/>
              </w:rPr>
            </w:pPr>
            <w:r>
              <w:rPr>
                <w:rFonts w:cs="Arial"/>
              </w:rPr>
              <w:t>1170</w:t>
            </w:r>
          </w:p>
        </w:tc>
        <w:tc>
          <w:tcPr>
            <w:tcW w:w="1701" w:type="dxa"/>
          </w:tcPr>
          <w:p w14:paraId="4836500D" w14:textId="77777777" w:rsidR="00417E78" w:rsidRDefault="00417E78" w:rsidP="001653B3">
            <w:pPr>
              <w:spacing w:line="276" w:lineRule="auto"/>
              <w:jc w:val="both"/>
              <w:rPr>
                <w:rFonts w:cs="Arial"/>
              </w:rPr>
            </w:pPr>
            <w:r>
              <w:rPr>
                <w:rFonts w:cs="Arial"/>
              </w:rPr>
              <w:t>89%</w:t>
            </w:r>
          </w:p>
        </w:tc>
      </w:tr>
    </w:tbl>
    <w:p w14:paraId="1E0F0B85" w14:textId="77777777" w:rsidR="00417E78" w:rsidRDefault="00417E78" w:rsidP="00417E78">
      <w:pPr>
        <w:spacing w:line="276" w:lineRule="auto"/>
        <w:jc w:val="both"/>
        <w:rPr>
          <w:rFonts w:cs="Arial"/>
        </w:rPr>
      </w:pPr>
    </w:p>
    <w:p w14:paraId="4239B878" w14:textId="77777777" w:rsidR="00417E78" w:rsidRDefault="00417E78" w:rsidP="00417E78">
      <w:pPr>
        <w:spacing w:line="276" w:lineRule="auto"/>
        <w:jc w:val="both"/>
        <w:rPr>
          <w:rFonts w:cs="Arial"/>
        </w:rPr>
      </w:pPr>
      <w:r>
        <w:rPr>
          <w:rFonts w:cs="Arial"/>
        </w:rPr>
        <w:t>Detailed outline of the standard compliance check procedure conducted by Marine Police:</w:t>
      </w:r>
    </w:p>
    <w:p w14:paraId="3B66B48D" w14:textId="77777777" w:rsidR="00417E78" w:rsidRDefault="00417E78" w:rsidP="00417E78">
      <w:pPr>
        <w:numPr>
          <w:ilvl w:val="0"/>
          <w:numId w:val="2"/>
        </w:numPr>
        <w:overflowPunct/>
        <w:autoSpaceDE/>
        <w:autoSpaceDN/>
        <w:adjustRightInd/>
        <w:spacing w:before="100" w:beforeAutospacing="1" w:after="100" w:afterAutospacing="1"/>
        <w:jc w:val="both"/>
        <w:textAlignment w:val="auto"/>
        <w:rPr>
          <w:rFonts w:cs="Arial"/>
          <w:color w:val="000000"/>
        </w:rPr>
      </w:pPr>
      <w:r>
        <w:rPr>
          <w:rFonts w:cs="Arial"/>
          <w:i/>
          <w:iCs/>
          <w:color w:val="000000"/>
          <w:shd w:val="clear" w:color="auto" w:fill="FFFFFF"/>
        </w:rPr>
        <w:t xml:space="preserve">inspections are conducted for all relevant marine safety and fisheries legislation; rarely are vessels inspected for just one issue. </w:t>
      </w:r>
    </w:p>
    <w:p w14:paraId="6E2960B5" w14:textId="77777777" w:rsidR="00417E78" w:rsidRDefault="00417E78" w:rsidP="00417E78">
      <w:pPr>
        <w:numPr>
          <w:ilvl w:val="0"/>
          <w:numId w:val="2"/>
        </w:numPr>
        <w:overflowPunct/>
        <w:autoSpaceDE/>
        <w:autoSpaceDN/>
        <w:adjustRightInd/>
        <w:spacing w:before="100" w:beforeAutospacing="1" w:after="100" w:afterAutospacing="1"/>
        <w:jc w:val="both"/>
        <w:textAlignment w:val="auto"/>
        <w:rPr>
          <w:rFonts w:cs="Arial"/>
          <w:color w:val="000000"/>
        </w:rPr>
      </w:pPr>
      <w:r>
        <w:rPr>
          <w:rFonts w:cs="Arial"/>
          <w:i/>
          <w:iCs/>
          <w:color w:val="000000"/>
          <w:shd w:val="clear" w:color="auto" w:fill="FFFFFF"/>
        </w:rPr>
        <w:t xml:space="preserve">vessel is checked for marine safety compliance (registration, licenced operator, presence of appropriate safety equipment for area of operation  - refer </w:t>
      </w:r>
      <w:hyperlink r:id="rId5" w:tgtFrame="_blank" w:tooltip="https://mast.tas.gov.au/safe-boating/safety-equipment/" w:history="1">
        <w:r>
          <w:rPr>
            <w:rStyle w:val="Hyperlink"/>
            <w:rFonts w:cs="Arial"/>
            <w:shd w:val="clear" w:color="auto" w:fill="FFFFFF"/>
          </w:rPr>
          <w:t>https://mast.tas.gov.au/safe-boating/safety-equipment/</w:t>
        </w:r>
      </w:hyperlink>
    </w:p>
    <w:p w14:paraId="446FF7A4" w14:textId="77777777" w:rsidR="00417E78" w:rsidRDefault="00417E78" w:rsidP="00417E78">
      <w:pPr>
        <w:numPr>
          <w:ilvl w:val="0"/>
          <w:numId w:val="2"/>
        </w:numPr>
        <w:overflowPunct/>
        <w:autoSpaceDE/>
        <w:autoSpaceDN/>
        <w:adjustRightInd/>
        <w:spacing w:before="100" w:beforeAutospacing="1" w:after="100" w:afterAutospacing="1"/>
        <w:jc w:val="both"/>
        <w:textAlignment w:val="auto"/>
        <w:rPr>
          <w:rFonts w:cs="Arial"/>
          <w:color w:val="000000"/>
        </w:rPr>
      </w:pPr>
      <w:r>
        <w:rPr>
          <w:rFonts w:cs="Arial"/>
          <w:i/>
          <w:iCs/>
          <w:color w:val="000000"/>
          <w:shd w:val="clear" w:color="auto" w:fill="FFFFFF"/>
        </w:rPr>
        <w:t>fisheries inspection includes size limits, catch / bag limit, no take species, measuring equipment, compliance of fishing gear, holder of relevant licences (</w:t>
      </w:r>
      <w:proofErr w:type="spellStart"/>
      <w:r>
        <w:rPr>
          <w:rFonts w:cs="Arial"/>
          <w:i/>
          <w:iCs/>
          <w:color w:val="000000"/>
          <w:shd w:val="clear" w:color="auto" w:fill="FFFFFF"/>
        </w:rPr>
        <w:t>eg</w:t>
      </w:r>
      <w:proofErr w:type="spellEnd"/>
      <w:r>
        <w:rPr>
          <w:rFonts w:cs="Arial"/>
          <w:i/>
          <w:iCs/>
          <w:color w:val="000000"/>
          <w:shd w:val="clear" w:color="auto" w:fill="FFFFFF"/>
        </w:rPr>
        <w:t>, abalone, scallop, lobster, gear) </w:t>
      </w:r>
    </w:p>
    <w:p w14:paraId="167C1A09" w14:textId="77777777" w:rsidR="00417E78" w:rsidRDefault="00417E78" w:rsidP="00417E78">
      <w:pPr>
        <w:spacing w:line="276" w:lineRule="auto"/>
        <w:jc w:val="both"/>
        <w:rPr>
          <w:rFonts w:cs="Arial"/>
        </w:rPr>
      </w:pPr>
    </w:p>
    <w:p w14:paraId="31FF7B60" w14:textId="77777777" w:rsidR="00417E78" w:rsidRDefault="00417E78" w:rsidP="00417E78">
      <w:pPr>
        <w:spacing w:line="276" w:lineRule="auto"/>
        <w:jc w:val="both"/>
        <w:rPr>
          <w:rFonts w:cs="Arial"/>
        </w:rPr>
      </w:pPr>
    </w:p>
    <w:p w14:paraId="312CDCE1" w14:textId="77777777" w:rsidR="00417E78" w:rsidRDefault="00417E78" w:rsidP="00417E78">
      <w:pPr>
        <w:spacing w:line="276" w:lineRule="auto"/>
        <w:jc w:val="both"/>
        <w:rPr>
          <w:rFonts w:cs="Arial"/>
        </w:rPr>
      </w:pPr>
      <w:r>
        <w:rPr>
          <w:rFonts w:cs="Arial"/>
        </w:rPr>
        <w:t>The number and proportion of compliance checks that resulted in:</w:t>
      </w:r>
    </w:p>
    <w:p w14:paraId="212276C3" w14:textId="77777777" w:rsidR="00417E78" w:rsidRDefault="00417E78" w:rsidP="00417E78">
      <w:pPr>
        <w:spacing w:line="276" w:lineRule="auto"/>
        <w:jc w:val="both"/>
        <w:rPr>
          <w:rFonts w:cs="Arial"/>
        </w:rPr>
      </w:pPr>
    </w:p>
    <w:p w14:paraId="4232D435" w14:textId="77777777" w:rsidR="00417E78" w:rsidRPr="00DD1D95" w:rsidRDefault="00417E78" w:rsidP="00417E78">
      <w:pPr>
        <w:pStyle w:val="ListParagraph"/>
        <w:numPr>
          <w:ilvl w:val="0"/>
          <w:numId w:val="3"/>
        </w:numPr>
        <w:spacing w:line="276" w:lineRule="auto"/>
        <w:jc w:val="both"/>
        <w:rPr>
          <w:rFonts w:cs="Arial"/>
          <w:b/>
          <w:bCs/>
        </w:rPr>
      </w:pPr>
      <w:r w:rsidRPr="00DD1D95">
        <w:rPr>
          <w:rFonts w:cs="Arial"/>
          <w:b/>
          <w:bCs/>
        </w:rPr>
        <w:t xml:space="preserve">No breach detected.  </w:t>
      </w:r>
    </w:p>
    <w:p w14:paraId="3303C607" w14:textId="77777777" w:rsidR="00417E78" w:rsidRDefault="00417E78" w:rsidP="00417E78">
      <w:pPr>
        <w:pStyle w:val="ListParagraph"/>
        <w:spacing w:line="276" w:lineRule="auto"/>
        <w:jc w:val="both"/>
        <w:rPr>
          <w:rFonts w:cs="Arial"/>
        </w:rPr>
      </w:pPr>
      <w:r w:rsidRPr="00DD1D95">
        <w:rPr>
          <w:rFonts w:cs="Arial"/>
          <w:i/>
          <w:iCs/>
        </w:rPr>
        <w:t>Records on non-detections are not kept but could be derived by deducting offence detections from reported inspections</w:t>
      </w:r>
      <w:r w:rsidRPr="00DD1D95">
        <w:rPr>
          <w:rFonts w:cs="Arial"/>
        </w:rPr>
        <w:t>.</w:t>
      </w:r>
    </w:p>
    <w:p w14:paraId="32D0CD0A" w14:textId="77777777" w:rsidR="00417E78" w:rsidRPr="00DD1D95" w:rsidRDefault="00417E78" w:rsidP="00417E78">
      <w:pPr>
        <w:pStyle w:val="ListParagraph"/>
        <w:spacing w:line="276" w:lineRule="auto"/>
        <w:jc w:val="both"/>
        <w:rPr>
          <w:rFonts w:cs="Arial"/>
        </w:rPr>
      </w:pPr>
    </w:p>
    <w:p w14:paraId="0F56D1F3" w14:textId="77777777" w:rsidR="00417E78" w:rsidRPr="00DD1D95" w:rsidRDefault="00417E78" w:rsidP="00417E78">
      <w:pPr>
        <w:pStyle w:val="ListParagraph"/>
        <w:numPr>
          <w:ilvl w:val="0"/>
          <w:numId w:val="3"/>
        </w:numPr>
        <w:spacing w:line="276" w:lineRule="auto"/>
        <w:jc w:val="both"/>
        <w:rPr>
          <w:rFonts w:cs="Arial"/>
          <w:b/>
          <w:bCs/>
        </w:rPr>
      </w:pPr>
      <w:r w:rsidRPr="00DD1D95">
        <w:rPr>
          <w:rFonts w:cs="Arial"/>
          <w:b/>
          <w:bCs/>
        </w:rPr>
        <w:t>Warnings (cautions) and infringement notices</w:t>
      </w:r>
      <w:r>
        <w:rPr>
          <w:rFonts w:cs="Arial"/>
          <w:b/>
          <w:bCs/>
        </w:rPr>
        <w:t>.</w:t>
      </w:r>
    </w:p>
    <w:p w14:paraId="10C11E8A" w14:textId="77777777" w:rsidR="00417E78" w:rsidRDefault="00417E78" w:rsidP="00417E78">
      <w:pPr>
        <w:pStyle w:val="ListParagraph"/>
        <w:spacing w:line="276" w:lineRule="auto"/>
        <w:jc w:val="both"/>
        <w:rPr>
          <w:rFonts w:cs="Arial"/>
          <w:i/>
          <w:iCs/>
        </w:rPr>
      </w:pPr>
      <w:r w:rsidRPr="00DD1D95">
        <w:rPr>
          <w:rFonts w:cs="Arial"/>
          <w:i/>
          <w:iCs/>
        </w:rPr>
        <w:t xml:space="preserve">These figures are combined in the </w:t>
      </w:r>
      <w:r>
        <w:rPr>
          <w:rFonts w:cs="Arial"/>
          <w:i/>
          <w:iCs/>
        </w:rPr>
        <w:t>above</w:t>
      </w:r>
      <w:r w:rsidRPr="00DD1D95">
        <w:rPr>
          <w:rFonts w:cs="Arial"/>
          <w:i/>
          <w:iCs/>
        </w:rPr>
        <w:t xml:space="preserve"> table</w:t>
      </w:r>
      <w:r>
        <w:rPr>
          <w:rFonts w:cs="Arial"/>
          <w:i/>
          <w:iCs/>
        </w:rPr>
        <w:t xml:space="preserve"> (total recreational fisheries offenders)</w:t>
      </w:r>
      <w:r w:rsidRPr="00DD1D95">
        <w:rPr>
          <w:rFonts w:cs="Arial"/>
          <w:i/>
          <w:iCs/>
        </w:rPr>
        <w:t xml:space="preserve"> - they are reported as the same thing</w:t>
      </w:r>
    </w:p>
    <w:p w14:paraId="5BBD3DA4" w14:textId="77777777" w:rsidR="00417E78" w:rsidRPr="00DD1D95" w:rsidRDefault="00417E78" w:rsidP="00417E78">
      <w:pPr>
        <w:pStyle w:val="ListParagraph"/>
        <w:spacing w:line="276" w:lineRule="auto"/>
        <w:jc w:val="both"/>
        <w:rPr>
          <w:rFonts w:cs="Arial"/>
          <w:i/>
          <w:iCs/>
        </w:rPr>
      </w:pPr>
    </w:p>
    <w:p w14:paraId="05F2AE8C" w14:textId="77777777" w:rsidR="00417E78" w:rsidRPr="00DD1D95" w:rsidRDefault="00417E78" w:rsidP="00417E78">
      <w:pPr>
        <w:pStyle w:val="ListParagraph"/>
        <w:numPr>
          <w:ilvl w:val="0"/>
          <w:numId w:val="3"/>
        </w:numPr>
        <w:spacing w:line="276" w:lineRule="auto"/>
        <w:jc w:val="both"/>
        <w:rPr>
          <w:rFonts w:cs="Arial"/>
          <w:b/>
          <w:bCs/>
        </w:rPr>
      </w:pPr>
      <w:r w:rsidRPr="00DD1D95">
        <w:rPr>
          <w:rFonts w:cs="Arial"/>
          <w:b/>
          <w:bCs/>
        </w:rPr>
        <w:t>Prosecutions</w:t>
      </w:r>
      <w:r>
        <w:rPr>
          <w:rFonts w:cs="Arial"/>
          <w:b/>
          <w:bCs/>
        </w:rPr>
        <w:t>.</w:t>
      </w:r>
    </w:p>
    <w:p w14:paraId="4A1EEEE6" w14:textId="77777777" w:rsidR="00417E78" w:rsidRPr="00F93BFD" w:rsidRDefault="00417E78" w:rsidP="00417E78">
      <w:pPr>
        <w:pStyle w:val="ListParagraph"/>
        <w:spacing w:line="276" w:lineRule="auto"/>
        <w:jc w:val="both"/>
        <w:rPr>
          <w:rFonts w:cs="Arial"/>
          <w:i/>
          <w:iCs/>
        </w:rPr>
      </w:pPr>
      <w:r w:rsidRPr="00DD1D95">
        <w:rPr>
          <w:rFonts w:cs="Arial"/>
          <w:i/>
          <w:iCs/>
        </w:rPr>
        <w:t>Information in relation to prosecutions in court are available from DPP who have been undertaking prosecutions for Tasmania Police for fisheries offences since November 2019.</w:t>
      </w:r>
    </w:p>
    <w:p w14:paraId="1FBFD6AE" w14:textId="77777777" w:rsidR="00417E78" w:rsidRDefault="00417E78" w:rsidP="00417E78">
      <w:pPr>
        <w:spacing w:line="276" w:lineRule="auto"/>
        <w:jc w:val="both"/>
        <w:rPr>
          <w:rFonts w:cs="Arial"/>
        </w:rPr>
      </w:pPr>
    </w:p>
    <w:p w14:paraId="1D9BA4FC" w14:textId="77777777" w:rsidR="00417E78" w:rsidRDefault="00417E78" w:rsidP="00417E78">
      <w:pPr>
        <w:spacing w:line="276" w:lineRule="auto"/>
        <w:jc w:val="both"/>
        <w:rPr>
          <w:rFonts w:cs="Arial"/>
        </w:rPr>
      </w:pPr>
      <w:r>
        <w:rPr>
          <w:rFonts w:cs="Arial"/>
        </w:rPr>
        <w:t>I also disclose 64 pages of information relevant to part three of your application.</w:t>
      </w:r>
    </w:p>
    <w:p w14:paraId="77150DDE" w14:textId="77777777" w:rsidR="00417E78" w:rsidRDefault="00417E78" w:rsidP="00417E78">
      <w:pPr>
        <w:spacing w:line="276" w:lineRule="auto"/>
        <w:jc w:val="both"/>
        <w:rPr>
          <w:rFonts w:cs="Arial"/>
        </w:rPr>
      </w:pPr>
    </w:p>
    <w:p w14:paraId="7DC1F1EF" w14:textId="77777777" w:rsidR="00417E78" w:rsidRPr="00384034" w:rsidRDefault="00417E78" w:rsidP="00417E78">
      <w:pPr>
        <w:spacing w:line="276" w:lineRule="auto"/>
        <w:jc w:val="both"/>
        <w:rPr>
          <w:rFonts w:cs="Arial"/>
          <w:sz w:val="8"/>
          <w:szCs w:val="8"/>
        </w:rPr>
      </w:pPr>
    </w:p>
    <w:p w14:paraId="146B5A6F" w14:textId="77777777" w:rsidR="00417E78" w:rsidRDefault="00417E78" w:rsidP="00417E78">
      <w:pPr>
        <w:rPr>
          <w:rFonts w:cs="Arial"/>
        </w:rPr>
      </w:pPr>
      <w:r>
        <w:rPr>
          <w:rFonts w:cs="Arial"/>
        </w:rPr>
        <w:t>4.</w:t>
      </w:r>
      <w:r w:rsidRPr="00F93BFD">
        <w:t xml:space="preserve"> </w:t>
      </w:r>
      <w:r>
        <w:t xml:space="preserve">  </w:t>
      </w:r>
      <w:r w:rsidRPr="00F93BFD">
        <w:rPr>
          <w:rFonts w:cs="Arial"/>
        </w:rPr>
        <w:t>Number of marine police officers employed by year</w:t>
      </w:r>
      <w:r>
        <w:rPr>
          <w:rFonts w:cs="Arial"/>
        </w:rPr>
        <w:t>.</w:t>
      </w:r>
    </w:p>
    <w:p w14:paraId="75790A7F" w14:textId="77777777" w:rsidR="00417E78" w:rsidRPr="00F93BFD" w:rsidRDefault="00417E78" w:rsidP="00417E78">
      <w:pPr>
        <w:spacing w:line="276" w:lineRule="auto"/>
        <w:jc w:val="both"/>
        <w:rPr>
          <w:rFonts w:cs="Arial"/>
        </w:rPr>
      </w:pPr>
    </w:p>
    <w:p w14:paraId="3F94907D" w14:textId="77777777" w:rsidR="00417E78" w:rsidRPr="00F93BFD" w:rsidRDefault="00417E78" w:rsidP="00417E78">
      <w:pPr>
        <w:spacing w:line="276" w:lineRule="auto"/>
        <w:jc w:val="both"/>
        <w:rPr>
          <w:rFonts w:cs="Arial"/>
        </w:rPr>
      </w:pPr>
      <w:r w:rsidRPr="00F93BFD">
        <w:rPr>
          <w:rFonts w:cs="Arial"/>
        </w:rPr>
        <w:t>The relevant division in southern geographic region, providing a statewide response is referred to as Marine &amp; Rescue Services and the allocation of these resources is at the discretion of the Inspector of that division. As the name implies, this division also provides services outside of Marine Servies.  21 people are currently allocated to this area.</w:t>
      </w:r>
    </w:p>
    <w:p w14:paraId="4177EA0B" w14:textId="77777777" w:rsidR="00417E78" w:rsidRPr="00F93BFD" w:rsidRDefault="00417E78" w:rsidP="00417E78">
      <w:pPr>
        <w:spacing w:line="276" w:lineRule="auto"/>
        <w:jc w:val="both"/>
        <w:rPr>
          <w:rFonts w:cs="Arial"/>
        </w:rPr>
      </w:pPr>
    </w:p>
    <w:p w14:paraId="305A91A5" w14:textId="77777777" w:rsidR="00417E78" w:rsidRPr="00F93BFD" w:rsidRDefault="00417E78" w:rsidP="00417E78">
      <w:pPr>
        <w:spacing w:line="276" w:lineRule="auto"/>
        <w:jc w:val="both"/>
        <w:rPr>
          <w:rFonts w:cs="Arial"/>
        </w:rPr>
      </w:pPr>
      <w:r w:rsidRPr="00F93BFD">
        <w:rPr>
          <w:rFonts w:cs="Arial"/>
        </w:rPr>
        <w:t>Northern District have 4 officers allocated in a full-time capacity to Marine Services.</w:t>
      </w:r>
    </w:p>
    <w:p w14:paraId="1D924521" w14:textId="77777777" w:rsidR="00417E78" w:rsidRPr="00F93BFD" w:rsidRDefault="00417E78" w:rsidP="00417E78">
      <w:pPr>
        <w:spacing w:line="276" w:lineRule="auto"/>
        <w:jc w:val="both"/>
        <w:rPr>
          <w:rFonts w:cs="Arial"/>
        </w:rPr>
      </w:pPr>
    </w:p>
    <w:p w14:paraId="0F72C2D5" w14:textId="77777777" w:rsidR="00417E78" w:rsidRPr="00F93BFD" w:rsidRDefault="00417E78" w:rsidP="00417E78">
      <w:pPr>
        <w:spacing w:line="276" w:lineRule="auto"/>
        <w:jc w:val="both"/>
        <w:rPr>
          <w:rFonts w:cs="Arial"/>
        </w:rPr>
      </w:pPr>
      <w:r w:rsidRPr="00F93BFD">
        <w:rPr>
          <w:rFonts w:cs="Arial"/>
        </w:rPr>
        <w:t>Western District have 5 officers allocated in a full-time capacity to Marine Services.</w:t>
      </w:r>
    </w:p>
    <w:p w14:paraId="40A90F90" w14:textId="77777777" w:rsidR="00417E78" w:rsidRPr="00F93BFD" w:rsidRDefault="00417E78" w:rsidP="00417E78">
      <w:pPr>
        <w:spacing w:line="276" w:lineRule="auto"/>
        <w:jc w:val="both"/>
        <w:rPr>
          <w:rFonts w:cs="Arial"/>
        </w:rPr>
      </w:pPr>
    </w:p>
    <w:p w14:paraId="30C6EB45" w14:textId="77777777" w:rsidR="00417E78" w:rsidRPr="00F93BFD" w:rsidRDefault="00417E78" w:rsidP="00417E78">
      <w:pPr>
        <w:spacing w:line="276" w:lineRule="auto"/>
        <w:jc w:val="both"/>
        <w:rPr>
          <w:rFonts w:cs="Arial"/>
        </w:rPr>
      </w:pPr>
      <w:r w:rsidRPr="00F93BFD">
        <w:rPr>
          <w:rFonts w:cs="Arial"/>
        </w:rPr>
        <w:t>A total full-time allocation of officers related to Marine and Rescue Services is 30.</w:t>
      </w:r>
    </w:p>
    <w:p w14:paraId="5A3C7561" w14:textId="77777777" w:rsidR="00417E78" w:rsidRPr="00F93BFD" w:rsidRDefault="00417E78" w:rsidP="00417E78">
      <w:pPr>
        <w:spacing w:line="276" w:lineRule="auto"/>
        <w:jc w:val="both"/>
        <w:rPr>
          <w:rFonts w:cs="Arial"/>
        </w:rPr>
      </w:pPr>
    </w:p>
    <w:p w14:paraId="5C6FF6BC" w14:textId="77777777" w:rsidR="00417E78" w:rsidRDefault="00417E78" w:rsidP="00417E78">
      <w:pPr>
        <w:spacing w:line="276" w:lineRule="auto"/>
        <w:jc w:val="both"/>
        <w:rPr>
          <w:rFonts w:cs="Arial"/>
        </w:rPr>
      </w:pPr>
      <w:r w:rsidRPr="00F93BFD">
        <w:rPr>
          <w:rFonts w:cs="Arial"/>
        </w:rPr>
        <w:t>This allocation was the same for 23/24 and 24/25.</w:t>
      </w:r>
    </w:p>
    <w:p w14:paraId="4E5964BC" w14:textId="77777777" w:rsidR="00417E78" w:rsidRDefault="00417E78" w:rsidP="00417E78">
      <w:pPr>
        <w:pStyle w:val="Default"/>
        <w:spacing w:line="276" w:lineRule="auto"/>
        <w:jc w:val="both"/>
        <w:rPr>
          <w:b/>
          <w:bCs/>
          <w:color w:val="0070C0"/>
          <w:sz w:val="20"/>
          <w:szCs w:val="20"/>
        </w:rPr>
      </w:pPr>
    </w:p>
    <w:p w14:paraId="567A635A" w14:textId="77777777" w:rsidR="00417E78" w:rsidRPr="00966C8D" w:rsidRDefault="00417E78" w:rsidP="00417E78">
      <w:pPr>
        <w:rPr>
          <w:rFonts w:ascii="Aptos" w:hAnsi="Aptos"/>
        </w:rPr>
      </w:pPr>
      <w:r>
        <w:t xml:space="preserve">The statistics released by Tasmania Police respond specifically to your request concerning Sand Flathead recreational offence detections, which are a subset of total fisheries offence detections, and should not be interpreted as a measure of overall recreational fishing compliance. Enquiries about fisheries management settings, policy, or compliance programs should be directed in the first instance to the Department of Natural Resources and Environment Tasmania (NRE). </w:t>
      </w:r>
    </w:p>
    <w:p w14:paraId="6DB9B37D" w14:textId="77777777" w:rsidR="00657B6D" w:rsidRDefault="00657B6D"/>
    <w:sectPr w:rsidR="00657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641"/>
    <w:multiLevelType w:val="multilevel"/>
    <w:tmpl w:val="93E09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9053BA"/>
    <w:multiLevelType w:val="multilevel"/>
    <w:tmpl w:val="F602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C846052"/>
    <w:multiLevelType w:val="hybridMultilevel"/>
    <w:tmpl w:val="DB329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9942163">
    <w:abstractNumId w:val="1"/>
  </w:num>
  <w:num w:numId="2" w16cid:durableId="737560827">
    <w:abstractNumId w:val="0"/>
  </w:num>
  <w:num w:numId="3" w16cid:durableId="1726945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78"/>
    <w:rsid w:val="0019422A"/>
    <w:rsid w:val="00417E78"/>
    <w:rsid w:val="004E0E84"/>
    <w:rsid w:val="00657B6D"/>
    <w:rsid w:val="00875CDC"/>
    <w:rsid w:val="00D35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D817"/>
  <w15:chartTrackingRefBased/>
  <w15:docId w15:val="{26391987-7408-4C52-8BA1-32E371B0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78"/>
    <w:pPr>
      <w:overflowPunct w:val="0"/>
      <w:autoSpaceDE w:val="0"/>
      <w:autoSpaceDN w:val="0"/>
      <w:adjustRightInd w:val="0"/>
      <w:spacing w:after="0" w:line="240" w:lineRule="auto"/>
      <w:textAlignment w:val="baseline"/>
    </w:pPr>
    <w:rPr>
      <w:rFonts w:ascii="Arial" w:eastAsia="Times New Roman" w:hAnsi="Arial" w:cs="Times New Roman"/>
      <w:kern w:val="0"/>
      <w:sz w:val="24"/>
      <w:szCs w:val="24"/>
      <w:lang w:eastAsia="en-AU"/>
    </w:rPr>
  </w:style>
  <w:style w:type="paragraph" w:styleId="Heading1">
    <w:name w:val="heading 1"/>
    <w:basedOn w:val="Normal"/>
    <w:next w:val="Normal"/>
    <w:link w:val="Heading1Char"/>
    <w:uiPriority w:val="9"/>
    <w:qFormat/>
    <w:rsid w:val="00417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E78"/>
    <w:rPr>
      <w:rFonts w:eastAsiaTheme="majorEastAsia" w:cstheme="majorBidi"/>
      <w:color w:val="272727" w:themeColor="text1" w:themeTint="D8"/>
    </w:rPr>
  </w:style>
  <w:style w:type="paragraph" w:styleId="Title">
    <w:name w:val="Title"/>
    <w:basedOn w:val="Normal"/>
    <w:next w:val="Normal"/>
    <w:link w:val="TitleChar"/>
    <w:uiPriority w:val="10"/>
    <w:qFormat/>
    <w:rsid w:val="00417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E78"/>
    <w:pPr>
      <w:spacing w:before="160"/>
      <w:jc w:val="center"/>
    </w:pPr>
    <w:rPr>
      <w:i/>
      <w:iCs/>
      <w:color w:val="404040" w:themeColor="text1" w:themeTint="BF"/>
    </w:rPr>
  </w:style>
  <w:style w:type="character" w:customStyle="1" w:styleId="QuoteChar">
    <w:name w:val="Quote Char"/>
    <w:basedOn w:val="DefaultParagraphFont"/>
    <w:link w:val="Quote"/>
    <w:uiPriority w:val="29"/>
    <w:rsid w:val="00417E78"/>
    <w:rPr>
      <w:i/>
      <w:iCs/>
      <w:color w:val="404040" w:themeColor="text1" w:themeTint="BF"/>
    </w:rPr>
  </w:style>
  <w:style w:type="paragraph" w:styleId="ListParagraph">
    <w:name w:val="List Paragraph"/>
    <w:basedOn w:val="Normal"/>
    <w:uiPriority w:val="34"/>
    <w:qFormat/>
    <w:rsid w:val="00417E78"/>
    <w:pPr>
      <w:ind w:left="720"/>
      <w:contextualSpacing/>
    </w:pPr>
  </w:style>
  <w:style w:type="character" w:styleId="IntenseEmphasis">
    <w:name w:val="Intense Emphasis"/>
    <w:basedOn w:val="DefaultParagraphFont"/>
    <w:uiPriority w:val="21"/>
    <w:qFormat/>
    <w:rsid w:val="00417E78"/>
    <w:rPr>
      <w:i/>
      <w:iCs/>
      <w:color w:val="0F4761" w:themeColor="accent1" w:themeShade="BF"/>
    </w:rPr>
  </w:style>
  <w:style w:type="paragraph" w:styleId="IntenseQuote">
    <w:name w:val="Intense Quote"/>
    <w:basedOn w:val="Normal"/>
    <w:next w:val="Normal"/>
    <w:link w:val="IntenseQuoteChar"/>
    <w:uiPriority w:val="30"/>
    <w:qFormat/>
    <w:rsid w:val="00417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E78"/>
    <w:rPr>
      <w:i/>
      <w:iCs/>
      <w:color w:val="0F4761" w:themeColor="accent1" w:themeShade="BF"/>
    </w:rPr>
  </w:style>
  <w:style w:type="character" w:styleId="IntenseReference">
    <w:name w:val="Intense Reference"/>
    <w:basedOn w:val="DefaultParagraphFont"/>
    <w:uiPriority w:val="32"/>
    <w:qFormat/>
    <w:rsid w:val="00417E78"/>
    <w:rPr>
      <w:b/>
      <w:bCs/>
      <w:smallCaps/>
      <w:color w:val="0F4761" w:themeColor="accent1" w:themeShade="BF"/>
      <w:spacing w:val="5"/>
    </w:rPr>
  </w:style>
  <w:style w:type="character" w:styleId="Hyperlink">
    <w:name w:val="Hyperlink"/>
    <w:rsid w:val="00417E78"/>
    <w:rPr>
      <w:color w:val="0000FF"/>
      <w:u w:val="single"/>
    </w:rPr>
  </w:style>
  <w:style w:type="paragraph" w:customStyle="1" w:styleId="Default">
    <w:name w:val="Default"/>
    <w:rsid w:val="00417E78"/>
    <w:pPr>
      <w:autoSpaceDE w:val="0"/>
      <w:autoSpaceDN w:val="0"/>
      <w:adjustRightInd w:val="0"/>
      <w:spacing w:after="0" w:line="240" w:lineRule="auto"/>
    </w:pPr>
    <w:rPr>
      <w:rFonts w:ascii="Arial" w:eastAsia="MS Mincho" w:hAnsi="Arial" w:cs="Arial"/>
      <w:color w:val="000000"/>
      <w:kern w:val="0"/>
      <w:sz w:val="24"/>
      <w:szCs w:val="24"/>
      <w:lang w:eastAsia="en-AU"/>
    </w:rPr>
  </w:style>
  <w:style w:type="table" w:styleId="TableGrid">
    <w:name w:val="Table Grid"/>
    <w:basedOn w:val="TableNormal"/>
    <w:uiPriority w:val="39"/>
    <w:rsid w:val="00417E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s01.safelinks.protection.outlook.com/?url=https%3A%2F%2Fmast.tas.gov.au%2Fsafe-boating%2Fsafety-equipment%2F&amp;data=05%7C02%7Crti%40dpfem.tas.gov.au%7Cf84270fe58fe469d1db008de892ff28e%7Ced13a8afa76343dcb114891492b38482%7C0%7C0%7C639099036201119581%7CUnknown%7CTWFpbGZsb3d8eyJFbXB0eU1hcGkiOnRydWUsIlYiOiIwLjAuMDAwMCIsIlAiOiJXaW4zMiIsIkFOIjoiTWFpbCIsIldUIjoyfQ%3D%3D%7C0%7C%7C%7C&amp;sdata=fQ0jxgTSvY1an2S36CLKdrwQNnpy5vpc2mHqPanIqos%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4582</Characters>
  <Application>Microsoft Office Word</Application>
  <DocSecurity>0</DocSecurity>
  <Lines>190</Lines>
  <Paragraphs>131</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 Joanne</dc:creator>
  <cp:keywords/>
  <dc:description/>
  <cp:lastModifiedBy>Hough, Joanne</cp:lastModifiedBy>
  <cp:revision>1</cp:revision>
  <dcterms:created xsi:type="dcterms:W3CDTF">2026-04-01T21:31:00Z</dcterms:created>
  <dcterms:modified xsi:type="dcterms:W3CDTF">2026-04-01T21:31:00Z</dcterms:modified>
</cp:coreProperties>
</file>